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02" w:rsidRPr="00D17856" w:rsidRDefault="008B6D73" w:rsidP="00D17856">
      <w:pPr>
        <w:jc w:val="center"/>
        <w:rPr>
          <w:b/>
          <w:sz w:val="36"/>
          <w:szCs w:val="36"/>
        </w:rPr>
      </w:pPr>
      <w:r>
        <w:rPr>
          <w:b/>
          <w:sz w:val="36"/>
          <w:szCs w:val="36"/>
        </w:rPr>
        <w:t xml:space="preserve">DRAFT </w:t>
      </w:r>
      <w:r w:rsidR="00D17856" w:rsidRPr="00D17856">
        <w:rPr>
          <w:b/>
          <w:sz w:val="36"/>
          <w:szCs w:val="36"/>
        </w:rPr>
        <w:t>Programmatic Issue:</w:t>
      </w:r>
    </w:p>
    <w:p w:rsidR="00D17856" w:rsidRPr="00D17856" w:rsidRDefault="00EC1338" w:rsidP="00D17856">
      <w:pPr>
        <w:jc w:val="center"/>
        <w:rPr>
          <w:b/>
          <w:sz w:val="36"/>
          <w:szCs w:val="36"/>
        </w:rPr>
      </w:pPr>
      <w:r>
        <w:rPr>
          <w:b/>
          <w:sz w:val="36"/>
          <w:szCs w:val="36"/>
        </w:rPr>
        <w:t xml:space="preserve">PIT-tag </w:t>
      </w:r>
      <w:r w:rsidR="00116C51">
        <w:rPr>
          <w:b/>
          <w:sz w:val="36"/>
          <w:szCs w:val="36"/>
        </w:rPr>
        <w:t xml:space="preserve">and Other Tagging </w:t>
      </w:r>
      <w:r>
        <w:rPr>
          <w:b/>
          <w:sz w:val="36"/>
          <w:szCs w:val="36"/>
        </w:rPr>
        <w:t>Projects</w:t>
      </w:r>
    </w:p>
    <w:p w:rsidR="00563D2B" w:rsidRDefault="00563D2B" w:rsidP="00563D2B">
      <w:pPr>
        <w:rPr>
          <w:b/>
          <w:u w:val="single"/>
        </w:rPr>
      </w:pPr>
    </w:p>
    <w:p w:rsidR="00FB3713" w:rsidRDefault="00C06E10" w:rsidP="00C06E10">
      <w:r w:rsidRPr="0067730A">
        <w:rPr>
          <w:b/>
          <w:u w:val="single"/>
        </w:rPr>
        <w:t>Issue:</w:t>
      </w:r>
      <w:r>
        <w:rPr>
          <w:b/>
        </w:rPr>
        <w:t xml:space="preserve"> </w:t>
      </w:r>
      <w:r w:rsidR="00667485">
        <w:rPr>
          <w:b/>
        </w:rPr>
        <w:t xml:space="preserve"> </w:t>
      </w:r>
      <w:r w:rsidR="00A842B6">
        <w:t xml:space="preserve">The ability to mark and tag fish is one of the most important and useful techniques available to fishery managers and researchers.  </w:t>
      </w:r>
      <w:r w:rsidR="00EA1B7D">
        <w:t xml:space="preserve">Tagging of salmon, steelhead and other fish species using Passive Integrated Transponder (PIT) tags, </w:t>
      </w:r>
      <w:r w:rsidR="00442F78">
        <w:t xml:space="preserve">as well as use of </w:t>
      </w:r>
      <w:r w:rsidR="00EA1B7D">
        <w:t xml:space="preserve">active tags such as acoustic and radio telemetry, is a key tool for monitoring and evaluating both juvenile and adult salmon passage from </w:t>
      </w:r>
      <w:r w:rsidR="00FC2DAF">
        <w:t xml:space="preserve">headwater </w:t>
      </w:r>
      <w:r w:rsidR="00EA1B7D">
        <w:t xml:space="preserve">rearing areas </w:t>
      </w:r>
      <w:r w:rsidR="00FC2DAF">
        <w:t xml:space="preserve">through the </w:t>
      </w:r>
      <w:proofErr w:type="spellStart"/>
      <w:r w:rsidR="00FC2DAF">
        <w:t>mainstem</w:t>
      </w:r>
      <w:proofErr w:type="spellEnd"/>
      <w:r w:rsidR="00FC2DAF">
        <w:t xml:space="preserve"> hydropower projects,</w:t>
      </w:r>
      <w:r w:rsidR="00EA1B7D">
        <w:t xml:space="preserve"> into the ocean</w:t>
      </w:r>
      <w:r w:rsidR="00FC2DAF">
        <w:t>,</w:t>
      </w:r>
      <w:r w:rsidR="00EA1B7D">
        <w:t xml:space="preserve"> and back to the spawning grounds.  </w:t>
      </w:r>
      <w:r w:rsidR="00A064ED">
        <w:t>Both passive and active tags are used in a wide array of research, monitoring and evaluation (RM&amp;E) projects throughout the Columbia Basin.  Fish tagging projects utilizing both passive and active tags are funded under the Council’s</w:t>
      </w:r>
      <w:r w:rsidR="00442F78">
        <w:t xml:space="preserve"> Fish and Wildlife Program</w:t>
      </w:r>
      <w:r w:rsidR="00A064ED">
        <w:t>, the 2008 FCRPS Biological Opinion,</w:t>
      </w:r>
      <w:r w:rsidR="00442F78">
        <w:t xml:space="preserve"> </w:t>
      </w:r>
      <w:r w:rsidR="00A064ED">
        <w:t xml:space="preserve">the Fish Accords, various Habitat Conservation Plans, the Corps-sponsored </w:t>
      </w:r>
      <w:proofErr w:type="spellStart"/>
      <w:r w:rsidR="00A064ED">
        <w:t>Anadromous</w:t>
      </w:r>
      <w:proofErr w:type="spellEnd"/>
      <w:r w:rsidR="00A064ED">
        <w:t xml:space="preserve"> Fish Evaluation Program (AFEP), and state salmon and steelhead recovery efforts.</w:t>
      </w:r>
      <w:r w:rsidR="00442F78">
        <w:t xml:space="preserve"> </w:t>
      </w:r>
      <w:r w:rsidR="00A064ED">
        <w:t xml:space="preserve"> </w:t>
      </w:r>
      <w:r w:rsidR="00FB3713">
        <w:t xml:space="preserve">Collectively, these programs utilize either active or passive tags (or both) to monitor the status of fish populations, evaluate the effectiveness of </w:t>
      </w:r>
      <w:r w:rsidR="00A842B6">
        <w:t xml:space="preserve">various </w:t>
      </w:r>
      <w:r w:rsidR="00FB3713">
        <w:t>management actions, and resolve critical uncertainties</w:t>
      </w:r>
      <w:r w:rsidR="008E76BF">
        <w:t xml:space="preserve"> in recovery strategies.</w:t>
      </w:r>
    </w:p>
    <w:p w:rsidR="00F31636" w:rsidRDefault="00F31636" w:rsidP="00C06E10"/>
    <w:p w:rsidR="00C06E10" w:rsidRPr="00AF7B1F" w:rsidRDefault="00FE4E56" w:rsidP="00C06E10">
      <w:r>
        <w:t>One</w:t>
      </w:r>
      <w:r w:rsidR="00A842B6">
        <w:t xml:space="preserve"> issue that has been raised is </w:t>
      </w:r>
      <w:r w:rsidR="00442F78">
        <w:t xml:space="preserve">whether </w:t>
      </w:r>
      <w:r w:rsidR="00AC2156">
        <w:t xml:space="preserve">all </w:t>
      </w:r>
      <w:r w:rsidR="00667485">
        <w:t xml:space="preserve">these </w:t>
      </w:r>
      <w:r w:rsidR="00AC2156">
        <w:t xml:space="preserve">tagging </w:t>
      </w:r>
      <w:r w:rsidR="00667485">
        <w:t xml:space="preserve">efforts </w:t>
      </w:r>
      <w:r w:rsidR="00442F78">
        <w:t xml:space="preserve">are </w:t>
      </w:r>
      <w:r>
        <w:t xml:space="preserve">well </w:t>
      </w:r>
      <w:r w:rsidR="00667485">
        <w:t xml:space="preserve">coordinated </w:t>
      </w:r>
      <w:r w:rsidR="00A842B6">
        <w:t>so</w:t>
      </w:r>
      <w:r w:rsidR="00667485">
        <w:t xml:space="preserve"> that we have a comprehensive monitoring </w:t>
      </w:r>
      <w:r>
        <w:t xml:space="preserve">and evaluation program </w:t>
      </w:r>
      <w:r w:rsidR="00667485">
        <w:t>address</w:t>
      </w:r>
      <w:r>
        <w:t>ing</w:t>
      </w:r>
      <w:r w:rsidR="00667485">
        <w:t xml:space="preserve"> the critical data gaps </w:t>
      </w:r>
      <w:r>
        <w:t>or uncertainties,</w:t>
      </w:r>
      <w:r w:rsidR="00667485">
        <w:t xml:space="preserve"> and that </w:t>
      </w:r>
      <w:r w:rsidR="00AC2156">
        <w:t xml:space="preserve">tags, </w:t>
      </w:r>
      <w:r w:rsidR="00667485">
        <w:t>data and results are being shared among sponsors in</w:t>
      </w:r>
      <w:r w:rsidR="00A842B6">
        <w:t xml:space="preserve"> such</w:t>
      </w:r>
      <w:r w:rsidR="00667485">
        <w:t xml:space="preserve"> a way to </w:t>
      </w:r>
      <w:r w:rsidR="00572FAF">
        <w:t>adaptively manage future work?</w:t>
      </w:r>
      <w:r w:rsidR="0043145F">
        <w:t xml:space="preserve"> </w:t>
      </w:r>
      <w:r>
        <w:t xml:space="preserve"> A s</w:t>
      </w:r>
      <w:r w:rsidR="0043145F">
        <w:t>econdary</w:t>
      </w:r>
      <w:r>
        <w:t xml:space="preserve"> issue pertains to </w:t>
      </w:r>
      <w:r w:rsidR="0043145F">
        <w:t>the status of the data collected to date, and what does it tell us</w:t>
      </w:r>
      <w:r w:rsidR="00406A78">
        <w:t>?</w:t>
      </w:r>
      <w:r w:rsidR="007A5EAE">
        <w:t xml:space="preserve">  </w:t>
      </w:r>
      <w:r w:rsidR="007A5EAE" w:rsidRPr="00AF7B1F">
        <w:t>T</w:t>
      </w:r>
      <w:r w:rsidR="00AD0B99" w:rsidRPr="00AF7B1F">
        <w:t>otal</w:t>
      </w:r>
      <w:r w:rsidR="007A5EAE" w:rsidRPr="00AF7B1F">
        <w:t xml:space="preserve"> </w:t>
      </w:r>
      <w:r w:rsidR="00AD0B99" w:rsidRPr="00AF7B1F">
        <w:t xml:space="preserve">three-year average </w:t>
      </w:r>
      <w:r w:rsidR="007A5EAE" w:rsidRPr="00AF7B1F">
        <w:t xml:space="preserve">funding proposed for </w:t>
      </w:r>
      <w:r w:rsidR="00AD0B99" w:rsidRPr="00AF7B1F">
        <w:t xml:space="preserve">all </w:t>
      </w:r>
      <w:r w:rsidR="00E61CF9" w:rsidRPr="00AF7B1F">
        <w:t xml:space="preserve">tagging </w:t>
      </w:r>
      <w:r w:rsidR="007A5EAE" w:rsidRPr="00AF7B1F">
        <w:t xml:space="preserve">projects </w:t>
      </w:r>
      <w:r w:rsidR="00A842B6">
        <w:t>in</w:t>
      </w:r>
      <w:r>
        <w:t xml:space="preserve"> this programmatic</w:t>
      </w:r>
      <w:r w:rsidR="00A842B6">
        <w:t xml:space="preserve"> topic</w:t>
      </w:r>
      <w:r>
        <w:t xml:space="preserve"> area</w:t>
      </w:r>
      <w:r w:rsidR="00E61CF9" w:rsidRPr="00AF7B1F">
        <w:t xml:space="preserve"> for FY</w:t>
      </w:r>
      <w:r w:rsidR="00AD0B99" w:rsidRPr="00AF7B1F">
        <w:t xml:space="preserve"> </w:t>
      </w:r>
      <w:r w:rsidR="00E61CF9" w:rsidRPr="00AF7B1F">
        <w:t>2012</w:t>
      </w:r>
      <w:r w:rsidR="00AD0B99" w:rsidRPr="00AF7B1F">
        <w:t>-2014</w:t>
      </w:r>
      <w:r w:rsidR="00E61CF9" w:rsidRPr="00AF7B1F">
        <w:t xml:space="preserve"> is </w:t>
      </w:r>
      <w:r w:rsidR="00AD0B99" w:rsidRPr="00AF7B1F">
        <w:t xml:space="preserve">approximately </w:t>
      </w:r>
      <w:r w:rsidR="00E61CF9" w:rsidRPr="00AF7B1F">
        <w:t>$</w:t>
      </w:r>
      <w:r w:rsidR="00AF7B1F" w:rsidRPr="00AF7B1F">
        <w:t>15</w:t>
      </w:r>
      <w:r w:rsidR="00AD0B99" w:rsidRPr="00AF7B1F">
        <w:t xml:space="preserve"> million (</w:t>
      </w:r>
      <w:r w:rsidR="00AF7B1F" w:rsidRPr="00AF7B1F">
        <w:t>T</w:t>
      </w:r>
      <w:r w:rsidR="00AD0B99" w:rsidRPr="00AF7B1F">
        <w:t xml:space="preserve">able </w:t>
      </w:r>
      <w:r w:rsidR="00AF7B1F" w:rsidRPr="00AF7B1F">
        <w:t>1</w:t>
      </w:r>
      <w:r w:rsidR="00AD0B99" w:rsidRPr="00AF7B1F">
        <w:t>)</w:t>
      </w:r>
      <w:r w:rsidR="007A5EAE" w:rsidRPr="00AF7B1F">
        <w:t>.</w:t>
      </w:r>
    </w:p>
    <w:p w:rsidR="0043145F" w:rsidRDefault="0043145F" w:rsidP="00C06E10"/>
    <w:p w:rsidR="00FB3713" w:rsidRDefault="00C06E10" w:rsidP="005D093B">
      <w:pPr>
        <w:rPr>
          <w:b/>
        </w:rPr>
      </w:pPr>
      <w:r>
        <w:rPr>
          <w:b/>
          <w:u w:val="single"/>
        </w:rPr>
        <w:t xml:space="preserve">Background and </w:t>
      </w:r>
      <w:r w:rsidRPr="00563D2B">
        <w:rPr>
          <w:b/>
          <w:u w:val="single"/>
        </w:rPr>
        <w:t>Staff comments:</w:t>
      </w:r>
      <w:r w:rsidRPr="00563D2B">
        <w:rPr>
          <w:b/>
        </w:rPr>
        <w:t xml:space="preserve">  </w:t>
      </w:r>
    </w:p>
    <w:p w:rsidR="00F31636" w:rsidRDefault="004A30FD" w:rsidP="005D093B">
      <w:r>
        <w:t>T</w:t>
      </w:r>
      <w:r w:rsidR="00F31636">
        <w:t xml:space="preserve">agging projects </w:t>
      </w:r>
      <w:r w:rsidR="00060F5D">
        <w:t>give fishery managers</w:t>
      </w:r>
      <w:r w:rsidR="00F31636">
        <w:t xml:space="preserve"> the ability to measure fish survival and travel time from headwater rearing areas through the </w:t>
      </w:r>
      <w:proofErr w:type="spellStart"/>
      <w:r w:rsidR="00F31636">
        <w:t>mainstem</w:t>
      </w:r>
      <w:proofErr w:type="spellEnd"/>
      <w:r w:rsidR="00F31636">
        <w:t xml:space="preserve"> Columbia and Snake </w:t>
      </w:r>
      <w:proofErr w:type="gramStart"/>
      <w:r w:rsidR="00F31636">
        <w:t>rivers</w:t>
      </w:r>
      <w:proofErr w:type="gramEnd"/>
      <w:r w:rsidR="00F31636">
        <w:t xml:space="preserve"> and into the Pacific Ocean.  Moreover, due to their long tag life, PIT-tag projects can also monitor adult salmon and steelhead migration timing and survival during upstream migration past the </w:t>
      </w:r>
      <w:proofErr w:type="spellStart"/>
      <w:r w:rsidR="00F31636">
        <w:t>mainstem</w:t>
      </w:r>
      <w:proofErr w:type="spellEnd"/>
      <w:r w:rsidR="00F31636">
        <w:t xml:space="preserve"> hydropower projects to the spawning grounds</w:t>
      </w:r>
      <w:r w:rsidR="000B62BD">
        <w:t xml:space="preserve">, e.g., ability to obtain </w:t>
      </w:r>
      <w:r w:rsidR="008031FD">
        <w:t xml:space="preserve">salmon </w:t>
      </w:r>
      <w:r w:rsidR="000B62BD">
        <w:t>life</w:t>
      </w:r>
      <w:r w:rsidR="008031FD">
        <w:t>-</w:t>
      </w:r>
      <w:r w:rsidR="000B62BD">
        <w:t xml:space="preserve">cycle </w:t>
      </w:r>
      <w:r w:rsidR="00150FD2">
        <w:t>metrics</w:t>
      </w:r>
      <w:r w:rsidR="000B62BD">
        <w:t xml:space="preserve"> such as </w:t>
      </w:r>
      <w:proofErr w:type="spellStart"/>
      <w:r w:rsidR="000B62BD">
        <w:t>smolt</w:t>
      </w:r>
      <w:proofErr w:type="spellEnd"/>
      <w:r w:rsidR="000B62BD">
        <w:t>-to-adult return rates</w:t>
      </w:r>
      <w:r w:rsidR="00F31636">
        <w:t xml:space="preserve">.  </w:t>
      </w:r>
      <w:r w:rsidR="005D093B">
        <w:t xml:space="preserve">In the </w:t>
      </w:r>
      <w:r w:rsidR="00BB28C9">
        <w:t xml:space="preserve">Basin-level Biological Objectives section </w:t>
      </w:r>
      <w:r w:rsidR="00E61CF9">
        <w:t xml:space="preserve">on p. 11 </w:t>
      </w:r>
      <w:r w:rsidR="00BB28C9">
        <w:t xml:space="preserve">of the </w:t>
      </w:r>
      <w:r w:rsidR="005D093B">
        <w:t>Council</w:t>
      </w:r>
      <w:r w:rsidR="00BB28C9">
        <w:t xml:space="preserve">’s </w:t>
      </w:r>
      <w:r w:rsidR="00E61CF9">
        <w:t xml:space="preserve">Fish and Wildlife </w:t>
      </w:r>
      <w:r w:rsidR="00BB28C9">
        <w:t>Program</w:t>
      </w:r>
      <w:r w:rsidR="00F31636">
        <w:t>,</w:t>
      </w:r>
      <w:r w:rsidR="00BB28C9">
        <w:t xml:space="preserve"> we state </w:t>
      </w:r>
      <w:r w:rsidR="00F31636">
        <w:t>one of</w:t>
      </w:r>
      <w:r w:rsidR="005D093B">
        <w:t xml:space="preserve"> our objective</w:t>
      </w:r>
      <w:r w:rsidR="00F31636">
        <w:t xml:space="preserve">s related to </w:t>
      </w:r>
      <w:proofErr w:type="spellStart"/>
      <w:r w:rsidR="00F31636">
        <w:t>anadromous</w:t>
      </w:r>
      <w:proofErr w:type="spellEnd"/>
      <w:r w:rsidR="00F31636">
        <w:t xml:space="preserve"> fish losses</w:t>
      </w:r>
      <w:r w:rsidR="005D093B">
        <w:t xml:space="preserve"> is to “</w:t>
      </w:r>
      <w:r w:rsidR="00F31636">
        <w:t>Halt declining trends in Columbia River Basin salmon and steelhead populations, especially those that originate above Bonneville Dam</w:t>
      </w:r>
      <w:r w:rsidR="00BB28C9">
        <w:t>…” and “</w:t>
      </w:r>
      <w:r w:rsidR="00F31636">
        <w:t xml:space="preserve">Significantly improve the </w:t>
      </w:r>
      <w:proofErr w:type="spellStart"/>
      <w:r w:rsidR="00F31636">
        <w:t>smolt</w:t>
      </w:r>
      <w:proofErr w:type="spellEnd"/>
      <w:r w:rsidR="00F31636">
        <w:t>-to-adult return rates (SARs) for Columbia River Basin salmon and steelhead</w:t>
      </w:r>
      <w:r w:rsidR="00BB28C9">
        <w:t>, resulting in productivity well into the range of positive [2-6 percent] population replacement</w:t>
      </w:r>
      <w:r w:rsidR="00F31636">
        <w:t>.</w:t>
      </w:r>
      <w:r w:rsidR="005D093B">
        <w:t>”</w:t>
      </w:r>
    </w:p>
    <w:p w:rsidR="00F31636" w:rsidRDefault="00F31636" w:rsidP="005D093B"/>
    <w:p w:rsidR="00BB28C9" w:rsidRDefault="0001778E" w:rsidP="005D093B">
      <w:r>
        <w:t>T</w:t>
      </w:r>
      <w:r w:rsidR="00BB28C9">
        <w:t xml:space="preserve">he Adult Fish </w:t>
      </w:r>
      <w:r>
        <w:t xml:space="preserve">Passage section </w:t>
      </w:r>
      <w:r w:rsidR="00E61CF9">
        <w:t xml:space="preserve">on pp. 46-47 </w:t>
      </w:r>
      <w:r>
        <w:t xml:space="preserve">of the Program states “emphasis should be placed on research, monitoring and evaluation …” and “installation of PIT-tag and radio-tag detectors.”  In particular, the Program says to “install PIT-tag detectors at key </w:t>
      </w:r>
      <w:proofErr w:type="spellStart"/>
      <w:r>
        <w:t>mainstem</w:t>
      </w:r>
      <w:proofErr w:type="spellEnd"/>
      <w:r>
        <w:t xml:space="preserve"> projects and/or near the mouths of major tributaries…” and “utilize known-origin PIT-tagged fish to evaluate adult survival (conversion rates) through key reaches of the </w:t>
      </w:r>
      <w:proofErr w:type="spellStart"/>
      <w:r>
        <w:t>mainstem</w:t>
      </w:r>
      <w:proofErr w:type="spellEnd"/>
      <w:r>
        <w:t xml:space="preserve"> Snake and Columbia rivers.”</w:t>
      </w:r>
    </w:p>
    <w:p w:rsidR="004A30FD" w:rsidRDefault="004A30FD" w:rsidP="005D093B"/>
    <w:p w:rsidR="004A30FD" w:rsidRPr="004A30FD" w:rsidRDefault="004A30FD" w:rsidP="004A30FD">
      <w:pPr>
        <w:autoSpaceDE w:val="0"/>
        <w:autoSpaceDN w:val="0"/>
        <w:adjustRightInd w:val="0"/>
      </w:pPr>
      <w:r w:rsidRPr="004A30FD">
        <w:t xml:space="preserve">The use of PIT tags in the Columbia </w:t>
      </w:r>
      <w:r>
        <w:t xml:space="preserve">River </w:t>
      </w:r>
      <w:r w:rsidRPr="004A30FD">
        <w:t xml:space="preserve">Basin has grown steadily (Figure </w:t>
      </w:r>
      <w:r>
        <w:t xml:space="preserve">1). </w:t>
      </w:r>
      <w:r w:rsidR="00962E63">
        <w:t xml:space="preserve"> </w:t>
      </w:r>
      <w:r>
        <w:t>Almost 2.5</w:t>
      </w:r>
      <w:r w:rsidR="00962E63">
        <w:t xml:space="preserve"> million</w:t>
      </w:r>
      <w:r>
        <w:t xml:space="preserve"> fish have been </w:t>
      </w:r>
      <w:r w:rsidRPr="004A30FD">
        <w:t>tagged and released each year during 2008 and 2009, and the same, or an increase in, markin</w:t>
      </w:r>
      <w:r w:rsidR="00060F5D">
        <w:t>g effort is anticipated for 2011</w:t>
      </w:r>
      <w:r w:rsidRPr="004A30FD">
        <w:t xml:space="preserve"> and future years.</w:t>
      </w:r>
    </w:p>
    <w:p w:rsidR="00BB28C9" w:rsidRDefault="00BB28C9" w:rsidP="005D093B"/>
    <w:p w:rsidR="004A30FD" w:rsidRDefault="00D3365A" w:rsidP="005D093B">
      <w:r>
        <w:rPr>
          <w:noProof/>
        </w:rPr>
        <w:lastRenderedPageBreak/>
        <w:drawing>
          <wp:inline distT="0" distB="0" distL="0" distR="0">
            <wp:extent cx="6254529" cy="2838616"/>
            <wp:effectExtent l="19050" t="0" r="0" b="0"/>
            <wp:docPr id="3" name="Picture 3"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2"/>
                    <pic:cNvPicPr>
                      <a:picLocks noChangeAspect="1" noChangeArrowheads="1"/>
                    </pic:cNvPicPr>
                  </pic:nvPicPr>
                  <pic:blipFill>
                    <a:blip r:embed="rId7" cstate="print"/>
                    <a:srcRect/>
                    <a:stretch>
                      <a:fillRect/>
                    </a:stretch>
                  </pic:blipFill>
                  <pic:spPr bwMode="auto">
                    <a:xfrm>
                      <a:off x="0" y="0"/>
                      <a:ext cx="6254696" cy="2838692"/>
                    </a:xfrm>
                    <a:prstGeom prst="rect">
                      <a:avLst/>
                    </a:prstGeom>
                    <a:noFill/>
                    <a:ln w="9525">
                      <a:noFill/>
                      <a:miter lim="800000"/>
                      <a:headEnd/>
                      <a:tailEnd/>
                    </a:ln>
                  </pic:spPr>
                </pic:pic>
              </a:graphicData>
            </a:graphic>
          </wp:inline>
        </w:drawing>
      </w:r>
    </w:p>
    <w:p w:rsidR="00D3365A" w:rsidRPr="00D3365A" w:rsidRDefault="00D3365A" w:rsidP="0018622C">
      <w:pPr>
        <w:pStyle w:val="NormalWeb"/>
      </w:pPr>
      <w:r>
        <w:rPr>
          <w:color w:val="000000"/>
          <w:sz w:val="15"/>
          <w:szCs w:val="15"/>
        </w:rPr>
        <w:t> </w:t>
      </w:r>
      <w:proofErr w:type="gramStart"/>
      <w:r w:rsidRPr="008053CB">
        <w:rPr>
          <w:b/>
        </w:rPr>
        <w:t>Figure 1</w:t>
      </w:r>
      <w:r>
        <w:t>.</w:t>
      </w:r>
      <w:proofErr w:type="gramEnd"/>
      <w:r>
        <w:t>  A</w:t>
      </w:r>
      <w:r w:rsidRPr="00D3365A">
        <w:t>nnual and cumulative numbers of PIT-tagged fish released in the Columbia Basin.</w:t>
      </w:r>
      <w:r w:rsidR="0018622C">
        <w:t xml:space="preserve"> Source: PSMFC.</w:t>
      </w:r>
    </w:p>
    <w:p w:rsidR="00D3365A" w:rsidRDefault="00D3365A" w:rsidP="00D3365A">
      <w:pPr>
        <w:pStyle w:val="NormalWeb"/>
        <w:rPr>
          <w:color w:val="000000"/>
        </w:rPr>
      </w:pPr>
      <w:r>
        <w:rPr>
          <w:color w:val="000000"/>
          <w:sz w:val="15"/>
          <w:szCs w:val="15"/>
        </w:rPr>
        <w:t> </w:t>
      </w:r>
      <w:r>
        <w:rPr>
          <w:color w:val="000000"/>
        </w:rPr>
        <w:t>PIT-</w:t>
      </w:r>
      <w:r w:rsidRPr="00D3365A">
        <w:rPr>
          <w:color w:val="000000"/>
        </w:rPr>
        <w:t xml:space="preserve">tag interrogation events generally exhibit the same increasing </w:t>
      </w:r>
      <w:r>
        <w:rPr>
          <w:color w:val="000000"/>
        </w:rPr>
        <w:t xml:space="preserve">annual </w:t>
      </w:r>
      <w:r w:rsidRPr="00D3365A">
        <w:rPr>
          <w:color w:val="000000"/>
        </w:rPr>
        <w:t xml:space="preserve">trend as the corresponding tagging events (Figure </w:t>
      </w:r>
      <w:r>
        <w:rPr>
          <w:color w:val="000000"/>
        </w:rPr>
        <w:t>2).  Over one million</w:t>
      </w:r>
      <w:r w:rsidRPr="00D3365A">
        <w:rPr>
          <w:color w:val="000000"/>
        </w:rPr>
        <w:t xml:space="preserve"> PIT-tagged fish have been detected each year since 2008.  Salmon and steelhead </w:t>
      </w:r>
      <w:proofErr w:type="spellStart"/>
      <w:r w:rsidRPr="00D3365A">
        <w:rPr>
          <w:color w:val="000000"/>
        </w:rPr>
        <w:t>smolts</w:t>
      </w:r>
      <w:proofErr w:type="spellEnd"/>
      <w:r w:rsidRPr="00D3365A">
        <w:rPr>
          <w:color w:val="000000"/>
        </w:rPr>
        <w:t xml:space="preserve"> account for over 99% of the tags detected.  On average, each </w:t>
      </w:r>
      <w:r w:rsidR="00060F5D">
        <w:rPr>
          <w:color w:val="000000"/>
        </w:rPr>
        <w:t>PIT-</w:t>
      </w:r>
      <w:r w:rsidRPr="00D3365A">
        <w:rPr>
          <w:color w:val="000000"/>
        </w:rPr>
        <w:t xml:space="preserve">tagged fish is detected at 1.5 interrogation sites (including </w:t>
      </w:r>
      <w:proofErr w:type="spellStart"/>
      <w:r w:rsidRPr="00D3365A">
        <w:rPr>
          <w:color w:val="000000"/>
        </w:rPr>
        <w:t>smolt</w:t>
      </w:r>
      <w:proofErr w:type="spellEnd"/>
      <w:r w:rsidRPr="00D3365A">
        <w:rPr>
          <w:color w:val="000000"/>
        </w:rPr>
        <w:t xml:space="preserve"> bypass facilities, hatchery and acclimation ponds, adult fish ladders, and in-str</w:t>
      </w:r>
      <w:r>
        <w:rPr>
          <w:color w:val="000000"/>
        </w:rPr>
        <w:t xml:space="preserve">eam monitoring arrays).  As </w:t>
      </w:r>
      <w:r w:rsidR="008053CB">
        <w:rPr>
          <w:color w:val="000000"/>
        </w:rPr>
        <w:t xml:space="preserve">the </w:t>
      </w:r>
      <w:r>
        <w:rPr>
          <w:color w:val="000000"/>
        </w:rPr>
        <w:t>PIT-</w:t>
      </w:r>
      <w:r w:rsidRPr="00D3365A">
        <w:rPr>
          <w:color w:val="000000"/>
        </w:rPr>
        <w:t xml:space="preserve">tag marking effort in </w:t>
      </w:r>
      <w:r w:rsidR="00060F5D">
        <w:rPr>
          <w:color w:val="000000"/>
        </w:rPr>
        <w:t xml:space="preserve">the Columbia Basin </w:t>
      </w:r>
      <w:r w:rsidRPr="00D3365A">
        <w:rPr>
          <w:color w:val="000000"/>
        </w:rPr>
        <w:t>increase</w:t>
      </w:r>
      <w:r w:rsidR="00060F5D">
        <w:rPr>
          <w:color w:val="000000"/>
        </w:rPr>
        <w:t>s</w:t>
      </w:r>
      <w:r w:rsidRPr="00D3365A">
        <w:rPr>
          <w:color w:val="000000"/>
        </w:rPr>
        <w:t>, so will the number of tags detected.</w:t>
      </w:r>
    </w:p>
    <w:p w:rsidR="00D3365A" w:rsidRPr="00D3365A" w:rsidRDefault="00D3365A" w:rsidP="00D3365A">
      <w:pPr>
        <w:pStyle w:val="NormalWeb"/>
        <w:rPr>
          <w:color w:val="000000"/>
        </w:rPr>
      </w:pPr>
      <w:r>
        <w:rPr>
          <w:noProof/>
        </w:rPr>
        <w:drawing>
          <wp:inline distT="0" distB="0" distL="0" distR="0">
            <wp:extent cx="6254529" cy="2767054"/>
            <wp:effectExtent l="19050" t="0" r="0" b="0"/>
            <wp:docPr id="6" name="Picture 6"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3"/>
                    <pic:cNvPicPr>
                      <a:picLocks noChangeAspect="1" noChangeArrowheads="1"/>
                    </pic:cNvPicPr>
                  </pic:nvPicPr>
                  <pic:blipFill>
                    <a:blip r:embed="rId8" cstate="print"/>
                    <a:srcRect/>
                    <a:stretch>
                      <a:fillRect/>
                    </a:stretch>
                  </pic:blipFill>
                  <pic:spPr bwMode="auto">
                    <a:xfrm>
                      <a:off x="0" y="0"/>
                      <a:ext cx="6258672" cy="2768887"/>
                    </a:xfrm>
                    <a:prstGeom prst="rect">
                      <a:avLst/>
                    </a:prstGeom>
                    <a:noFill/>
                    <a:ln w="9525">
                      <a:noFill/>
                      <a:miter lim="800000"/>
                      <a:headEnd/>
                      <a:tailEnd/>
                    </a:ln>
                  </pic:spPr>
                </pic:pic>
              </a:graphicData>
            </a:graphic>
          </wp:inline>
        </w:drawing>
      </w:r>
    </w:p>
    <w:p w:rsidR="00D3365A" w:rsidRPr="004A30FD" w:rsidRDefault="00D3365A" w:rsidP="005D093B">
      <w:proofErr w:type="gramStart"/>
      <w:r w:rsidRPr="008053CB">
        <w:rPr>
          <w:b/>
          <w:sz w:val="22"/>
          <w:szCs w:val="22"/>
        </w:rPr>
        <w:t>Figure 2</w:t>
      </w:r>
      <w:r w:rsidRPr="00D3365A">
        <w:rPr>
          <w:sz w:val="22"/>
          <w:szCs w:val="22"/>
        </w:rPr>
        <w:t>.</w:t>
      </w:r>
      <w:proofErr w:type="gramEnd"/>
      <w:r>
        <w:t xml:space="preserve">  </w:t>
      </w:r>
      <w:r w:rsidRPr="00D3365A">
        <w:rPr>
          <w:color w:val="000000"/>
          <w:sz w:val="22"/>
          <w:szCs w:val="22"/>
        </w:rPr>
        <w:t xml:space="preserve">The annual numbers of PIT-tagged fish detected, and the cumulative number of individual antenna interrogations. </w:t>
      </w:r>
      <w:r>
        <w:rPr>
          <w:color w:val="000000"/>
          <w:sz w:val="22"/>
          <w:szCs w:val="22"/>
        </w:rPr>
        <w:t xml:space="preserve"> </w:t>
      </w:r>
      <w:proofErr w:type="spellStart"/>
      <w:r w:rsidRPr="00D3365A">
        <w:rPr>
          <w:color w:val="000000"/>
          <w:sz w:val="22"/>
          <w:szCs w:val="22"/>
        </w:rPr>
        <w:t>Smolts</w:t>
      </w:r>
      <w:proofErr w:type="spellEnd"/>
      <w:r w:rsidRPr="00D3365A">
        <w:rPr>
          <w:color w:val="000000"/>
          <w:sz w:val="22"/>
          <w:szCs w:val="22"/>
        </w:rPr>
        <w:t xml:space="preserve"> detected at transportation sites are generally returned to the river, and thus can be detected again at a downstream site.</w:t>
      </w:r>
      <w:r>
        <w:rPr>
          <w:color w:val="000000"/>
          <w:sz w:val="22"/>
          <w:szCs w:val="22"/>
        </w:rPr>
        <w:t xml:space="preserve">  Source: PSMFC.</w:t>
      </w:r>
    </w:p>
    <w:p w:rsidR="0001778E" w:rsidRDefault="007A5EAE" w:rsidP="0001778E">
      <w:r w:rsidRPr="0067730A">
        <w:rPr>
          <w:b/>
          <w:u w:val="single"/>
        </w:rPr>
        <w:lastRenderedPageBreak/>
        <w:t>ISRP Comments:</w:t>
      </w:r>
      <w:r>
        <w:t xml:space="preserve">  </w:t>
      </w:r>
      <w:r w:rsidR="0001778E">
        <w:t xml:space="preserve">The Fish and Wildlife Program’s suite of tagging projects </w:t>
      </w:r>
      <w:r w:rsidR="0001778E" w:rsidRPr="002067FD">
        <w:t xml:space="preserve">address </w:t>
      </w:r>
      <w:r w:rsidR="0001778E">
        <w:t xml:space="preserve">the need for monitoring and evaluating </w:t>
      </w:r>
      <w:proofErr w:type="spellStart"/>
      <w:r w:rsidR="0001778E">
        <w:t>hydrosystem</w:t>
      </w:r>
      <w:proofErr w:type="spellEnd"/>
      <w:r w:rsidR="0001778E">
        <w:t xml:space="preserve"> passage of upriver salmon and steelhead stocks, and PIT-tag projects can provide salmon life-cycle data, e.g., SAR information.  In its overall review of the various </w:t>
      </w:r>
      <w:proofErr w:type="spellStart"/>
      <w:r w:rsidR="0001778E">
        <w:t>Hydrosystem</w:t>
      </w:r>
      <w:proofErr w:type="spellEnd"/>
      <w:r w:rsidR="0001778E">
        <w:t xml:space="preserve"> RM&amp;E projects</w:t>
      </w:r>
      <w:r w:rsidR="0001778E" w:rsidRPr="002067FD">
        <w:t>, t</w:t>
      </w:r>
      <w:r w:rsidR="0001778E">
        <w:t>he</w:t>
      </w:r>
      <w:r w:rsidR="0001778E" w:rsidRPr="002067FD">
        <w:t xml:space="preserve"> </w:t>
      </w:r>
      <w:r w:rsidR="0001778E" w:rsidRPr="00B76BBE">
        <w:t xml:space="preserve">ISRP </w:t>
      </w:r>
      <w:r w:rsidR="0001778E">
        <w:t>found that</w:t>
      </w:r>
      <w:r w:rsidR="0001778E" w:rsidRPr="00B76BBE">
        <w:t xml:space="preserve">, </w:t>
      </w:r>
      <w:r w:rsidR="0001778E">
        <w:t xml:space="preserve">as a group, the projects addressed “most of the Council’s questions regarding major program management questions and associated HLIs.  </w:t>
      </w:r>
      <w:r w:rsidR="008031FD">
        <w:t>[</w:t>
      </w:r>
      <w:r w:rsidR="0001778E">
        <w:t>The</w:t>
      </w:r>
      <w:r w:rsidR="008031FD">
        <w:t xml:space="preserve"> projects]</w:t>
      </w:r>
      <w:r w:rsidR="0001778E">
        <w:t xml:space="preserve"> were also responsive to 2008 </w:t>
      </w:r>
      <w:proofErr w:type="spellStart"/>
      <w:r w:rsidR="0001778E">
        <w:t>BiOp</w:t>
      </w:r>
      <w:proofErr w:type="spellEnd"/>
      <w:r w:rsidR="0001778E">
        <w:t xml:space="preserve"> RPAs.  In addition, the ISRP did not find excessive overlap of objectives or duplication of data collection among the [</w:t>
      </w:r>
      <w:proofErr w:type="spellStart"/>
      <w:r w:rsidR="0001778E">
        <w:t>mainstem</w:t>
      </w:r>
      <w:proofErr w:type="spellEnd"/>
      <w:r w:rsidR="0001778E">
        <w:t>] group of projects.”</w:t>
      </w:r>
    </w:p>
    <w:p w:rsidR="0001778E" w:rsidRDefault="0001778E" w:rsidP="0001778E"/>
    <w:p w:rsidR="0001778E" w:rsidRPr="00781572" w:rsidRDefault="0001778E" w:rsidP="0001778E">
      <w:r>
        <w:t xml:space="preserve">The ISRP also </w:t>
      </w:r>
      <w:r w:rsidR="00EB3866">
        <w:t>did not find any</w:t>
      </w:r>
      <w:r>
        <w:t xml:space="preserve"> priority Fish and Wildlife Program data gaps, which includes route-specific passage survival, in the suite of </w:t>
      </w:r>
      <w:proofErr w:type="spellStart"/>
      <w:r>
        <w:t>mainstem</w:t>
      </w:r>
      <w:proofErr w:type="spellEnd"/>
      <w:r>
        <w:t xml:space="preserve"> RM&amp;E projects.  This is primarily because the Corps of Engineers’ AFEP projects provide detailed study data such as route-specific passage survival at individual </w:t>
      </w:r>
      <w:proofErr w:type="spellStart"/>
      <w:r>
        <w:t>mainstem</w:t>
      </w:r>
      <w:proofErr w:type="spellEnd"/>
      <w:r>
        <w:t xml:space="preserve"> hydro</w:t>
      </w:r>
      <w:r w:rsidR="008031FD">
        <w:t>power</w:t>
      </w:r>
      <w:r>
        <w:t xml:space="preserve"> dams, as well as other significant survival and fish performance testing concerning juvenile and adult </w:t>
      </w:r>
      <w:proofErr w:type="spellStart"/>
      <w:r>
        <w:t>salmonid</w:t>
      </w:r>
      <w:proofErr w:type="spellEnd"/>
      <w:r>
        <w:t xml:space="preserve"> </w:t>
      </w:r>
      <w:proofErr w:type="spellStart"/>
      <w:r>
        <w:t>hydrosystem</w:t>
      </w:r>
      <w:proofErr w:type="spellEnd"/>
      <w:r>
        <w:t xml:space="preserve"> passage.  Specifically</w:t>
      </w:r>
      <w:r w:rsidRPr="002067FD">
        <w:t xml:space="preserve">, the Corps of Engineers is funding and implementing </w:t>
      </w:r>
      <w:r w:rsidR="00CE3659">
        <w:t xml:space="preserve">11 </w:t>
      </w:r>
      <w:r w:rsidRPr="002067FD">
        <w:t>dam passage</w:t>
      </w:r>
      <w:r w:rsidR="00CE3659">
        <w:t xml:space="preserve"> or transportation</w:t>
      </w:r>
      <w:r w:rsidRPr="002067FD">
        <w:t xml:space="preserve">-related </w:t>
      </w:r>
      <w:r>
        <w:t xml:space="preserve">RM&amp;E </w:t>
      </w:r>
      <w:r w:rsidRPr="002067FD">
        <w:t xml:space="preserve">projects </w:t>
      </w:r>
      <w:r>
        <w:t xml:space="preserve">through its Columbia River Fish Mitigation Program (CRFM) </w:t>
      </w:r>
      <w:r w:rsidRPr="002067FD">
        <w:t xml:space="preserve">at </w:t>
      </w:r>
      <w:r>
        <w:t xml:space="preserve">a total cost of </w:t>
      </w:r>
      <w:r w:rsidR="00CE3659">
        <w:t>over $17</w:t>
      </w:r>
      <w:r w:rsidRPr="002067FD">
        <w:t xml:space="preserve"> mil</w:t>
      </w:r>
      <w:r w:rsidR="00CE3659">
        <w:t>lion in FY 2011</w:t>
      </w:r>
      <w:r w:rsidRPr="002067FD">
        <w:t>.</w:t>
      </w:r>
      <w:r w:rsidR="00C04467">
        <w:t xml:space="preserve">  </w:t>
      </w:r>
      <w:r w:rsidR="00962E63">
        <w:t>See page 6</w:t>
      </w:r>
      <w:r w:rsidR="00CE3659">
        <w:t xml:space="preserve"> </w:t>
      </w:r>
      <w:r>
        <w:t xml:space="preserve">for a list of </w:t>
      </w:r>
      <w:r w:rsidR="00C04467">
        <w:t xml:space="preserve">the </w:t>
      </w:r>
      <w:r>
        <w:t xml:space="preserve">Corps-funded AFEP projects </w:t>
      </w:r>
      <w:r w:rsidR="00334F6E">
        <w:t xml:space="preserve">for 2011 which are </w:t>
      </w:r>
      <w:r>
        <w:t xml:space="preserve">using PIT or </w:t>
      </w:r>
      <w:r w:rsidR="00334F6E">
        <w:t>other</w:t>
      </w:r>
      <w:r>
        <w:t xml:space="preserve"> </w:t>
      </w:r>
      <w:r w:rsidR="008031FD">
        <w:t xml:space="preserve">fish </w:t>
      </w:r>
      <w:r>
        <w:t>tags.</w:t>
      </w:r>
    </w:p>
    <w:p w:rsidR="0001778E" w:rsidRDefault="0001778E" w:rsidP="0001778E">
      <w:pPr>
        <w:rPr>
          <w:b/>
          <w:u w:val="single"/>
        </w:rPr>
      </w:pPr>
    </w:p>
    <w:p w:rsidR="0001778E" w:rsidRDefault="0001778E" w:rsidP="0001778E">
      <w:r>
        <w:t>The ISRP also noted “the life history-related projects in the [</w:t>
      </w:r>
      <w:proofErr w:type="spellStart"/>
      <w:r>
        <w:t>mainstem</w:t>
      </w:r>
      <w:proofErr w:type="spellEnd"/>
      <w:r>
        <w:t xml:space="preserve">] group also provide important information on Lower Snake River </w:t>
      </w:r>
      <w:proofErr w:type="spellStart"/>
      <w:r>
        <w:t>salmonids</w:t>
      </w:r>
      <w:proofErr w:type="spellEnd"/>
      <w:r>
        <w:t>,” which include the following projects:</w:t>
      </w:r>
    </w:p>
    <w:p w:rsidR="0001778E" w:rsidRDefault="00E85389" w:rsidP="00E85389">
      <w:pPr>
        <w:pStyle w:val="ListParagraph"/>
        <w:numPr>
          <w:ilvl w:val="0"/>
          <w:numId w:val="13"/>
        </w:numPr>
      </w:pPr>
      <w:r>
        <w:t>PIT-tagging wild spring/summer Chinook salmon—population status monitoring, migration characteristics, and tributary habitat conditions (</w:t>
      </w:r>
      <w:r w:rsidR="008031FD">
        <w:t xml:space="preserve">project </w:t>
      </w:r>
      <w:r>
        <w:t>1991-028-00);</w:t>
      </w:r>
    </w:p>
    <w:p w:rsidR="00E85389" w:rsidRDefault="00E85389" w:rsidP="00E85389">
      <w:pPr>
        <w:pStyle w:val="ListParagraph"/>
        <w:numPr>
          <w:ilvl w:val="0"/>
          <w:numId w:val="13"/>
        </w:numPr>
      </w:pPr>
      <w:r>
        <w:t>RM&amp;E of emerging issues and measures to recover Snake River fall Chinook salmon--</w:t>
      </w:r>
      <w:r w:rsidRPr="00E85389">
        <w:t xml:space="preserve"> </w:t>
      </w:r>
      <w:r>
        <w:t xml:space="preserve">population status monitoring, migration characteristics, and both </w:t>
      </w:r>
      <w:proofErr w:type="spellStart"/>
      <w:r>
        <w:t>hydrosystem</w:t>
      </w:r>
      <w:proofErr w:type="spellEnd"/>
      <w:r>
        <w:t xml:space="preserve"> and hatchery critical uncertainties (</w:t>
      </w:r>
      <w:r w:rsidR="008031FD">
        <w:t xml:space="preserve">projects </w:t>
      </w:r>
      <w:r>
        <w:t>1991-029-00 and 2002-032-00); and</w:t>
      </w:r>
    </w:p>
    <w:p w:rsidR="00E85389" w:rsidRPr="00BC0A05" w:rsidRDefault="00E85389" w:rsidP="00E85389">
      <w:pPr>
        <w:pStyle w:val="ListParagraph"/>
        <w:numPr>
          <w:ilvl w:val="0"/>
          <w:numId w:val="13"/>
        </w:numPr>
      </w:pPr>
      <w:r>
        <w:t>Characterizing migration and survival for juvenile Snake River sockeye salmon between upper Salmon River Basin and Lower Granite Dam (</w:t>
      </w:r>
      <w:r w:rsidR="008031FD">
        <w:t xml:space="preserve">project </w:t>
      </w:r>
      <w:r>
        <w:t>2010-076-00).</w:t>
      </w:r>
    </w:p>
    <w:p w:rsidR="0001778E" w:rsidRDefault="0001778E" w:rsidP="007A5EAE"/>
    <w:p w:rsidR="00BD3C06" w:rsidRDefault="00BD3C06" w:rsidP="007A5EAE">
      <w:r>
        <w:t>A</w:t>
      </w:r>
      <w:r w:rsidR="003F5B5A">
        <w:t xml:space="preserve"> concern noted by the ISRP</w:t>
      </w:r>
      <w:r w:rsidR="0067380C">
        <w:t xml:space="preserve"> was that “emerging evidence indicates PIT-tagged salmon can shed their tags at very high rates … and that tag loss may vary considerably depending on hatchery and time since tagging.”  Unaccounted tag loss could “lead to underestimating survival,” particularly SARs, and variable tag loss could “potentially confound experiments that rely on tag recovery rates and minimal measurement error.”  </w:t>
      </w:r>
    </w:p>
    <w:p w:rsidR="00BD3C06" w:rsidRDefault="00BD3C06" w:rsidP="007A5EAE"/>
    <w:p w:rsidR="00286D32" w:rsidRDefault="00CE3659" w:rsidP="007A5EAE">
      <w:r>
        <w:t>Staff notes that</w:t>
      </w:r>
      <w:r w:rsidR="00286D32">
        <w:t xml:space="preserve"> </w:t>
      </w:r>
      <w:r w:rsidR="00BC378F">
        <w:t>tag</w:t>
      </w:r>
      <w:r>
        <w:t>ging</w:t>
      </w:r>
      <w:r w:rsidR="00BC378F">
        <w:t xml:space="preserve"> effect</w:t>
      </w:r>
      <w:r>
        <w:t>s</w:t>
      </w:r>
      <w:r w:rsidR="00EB3866">
        <w:t xml:space="preserve"> </w:t>
      </w:r>
      <w:r>
        <w:t>are</w:t>
      </w:r>
      <w:r w:rsidR="00286D32">
        <w:t xml:space="preserve"> not a new issue.  Effects of PIT-tagging were extensively studied and documented by NOAA scientists during development of the PIT-tag technology</w:t>
      </w:r>
      <w:r w:rsidR="00286D32" w:rsidRPr="00286D32">
        <w:t xml:space="preserve"> </w:t>
      </w:r>
      <w:r w:rsidR="00286D32">
        <w:t>in the 1980s and 1990s.  In sum, the NOAA studies raised some concern about tag retention in adult female salmon that were mature and near spawning.  The studies also showed some effects on fish growth related to the presence of PIT-tags, although not consistently.</w:t>
      </w:r>
      <w:r w:rsidR="00BC378F">
        <w:t xml:space="preserve">  NOAA concluded that any type of fish tagging is likely to reduce survival compared to untagged fish, and they speculated that PIT-tagging could reduce survival to adulthood by 5-10 percent.  These studies also recommended that tagged fish be held for a month or more after marking to reduce effects on post-tagging SARs, a recommendation which has been implemented by most Program studies using PIT tags.</w:t>
      </w:r>
    </w:p>
    <w:p w:rsidR="00BC378F" w:rsidRDefault="00BC378F" w:rsidP="007A5EAE"/>
    <w:p w:rsidR="007A5EAE" w:rsidRDefault="00465B39" w:rsidP="007A5EAE">
      <w:r>
        <w:t xml:space="preserve">Staff </w:t>
      </w:r>
      <w:r w:rsidR="00BC378F">
        <w:t xml:space="preserve">also </w:t>
      </w:r>
      <w:r>
        <w:t xml:space="preserve">notes that two treatment survival studies </w:t>
      </w:r>
      <w:r w:rsidR="00BC378F">
        <w:t xml:space="preserve">(e.g., studies with test and control releases) </w:t>
      </w:r>
      <w:r>
        <w:t>using PIT-tagged fish would not likely be biased by unaccounted tag loss since both treatment gr</w:t>
      </w:r>
      <w:r w:rsidR="00BC378F">
        <w:t xml:space="preserve">oups should experience a similar </w:t>
      </w:r>
      <w:r>
        <w:t xml:space="preserve">rate of tag loss.  In addition, any tag bias associated with long-term monitoring and </w:t>
      </w:r>
      <w:r>
        <w:lastRenderedPageBreak/>
        <w:t xml:space="preserve">survival projects such as the </w:t>
      </w:r>
      <w:proofErr w:type="spellStart"/>
      <w:r>
        <w:t>smolt</w:t>
      </w:r>
      <w:proofErr w:type="spellEnd"/>
      <w:r>
        <w:t xml:space="preserve"> monitoring program (</w:t>
      </w:r>
      <w:r w:rsidR="00B42F46">
        <w:t xml:space="preserve">project </w:t>
      </w:r>
      <w:r>
        <w:t>1987-127-00), the Comparative Survival Study (</w:t>
      </w:r>
      <w:r w:rsidR="009F48EF">
        <w:t xml:space="preserve">CSS </w:t>
      </w:r>
      <w:r w:rsidR="00B42F46">
        <w:t xml:space="preserve">project </w:t>
      </w:r>
      <w:r>
        <w:t>1996-020-00) and survival estimates for fish passage</w:t>
      </w:r>
      <w:r w:rsidR="009D234C">
        <w:t xml:space="preserve"> through Snake and Columbia river dams and reservoirs (</w:t>
      </w:r>
      <w:r w:rsidR="00B42F46">
        <w:t xml:space="preserve">project </w:t>
      </w:r>
      <w:r w:rsidR="009D234C">
        <w:t>1993-029-00) should be minimized</w:t>
      </w:r>
      <w:r>
        <w:t xml:space="preserve"> when making inter-annual </w:t>
      </w:r>
      <w:r w:rsidR="009D234C">
        <w:t xml:space="preserve">data </w:t>
      </w:r>
      <w:r>
        <w:t>comparisons</w:t>
      </w:r>
      <w:r w:rsidR="009D234C">
        <w:t>, as tag loss should be similar from year-to-year</w:t>
      </w:r>
      <w:r>
        <w:t>.</w:t>
      </w:r>
      <w:r w:rsidR="009D234C">
        <w:t xml:space="preserve">  However, survival results from these studies should be considered </w:t>
      </w:r>
      <w:proofErr w:type="gramStart"/>
      <w:r w:rsidR="009D234C">
        <w:t>conservative,</w:t>
      </w:r>
      <w:proofErr w:type="gramEnd"/>
      <w:r w:rsidR="009D234C">
        <w:t xml:space="preserve"> or </w:t>
      </w:r>
      <w:r w:rsidR="009D234C">
        <w:rPr>
          <w:i/>
        </w:rPr>
        <w:t>minimum</w:t>
      </w:r>
      <w:r w:rsidR="009D234C">
        <w:t xml:space="preserve"> survival rates due to </w:t>
      </w:r>
      <w:r w:rsidR="00BC378F">
        <w:t xml:space="preserve">the </w:t>
      </w:r>
      <w:r w:rsidR="009D234C">
        <w:t xml:space="preserve">potential </w:t>
      </w:r>
      <w:r w:rsidR="00BC378F">
        <w:t xml:space="preserve">for </w:t>
      </w:r>
      <w:r w:rsidR="009D234C">
        <w:t>tag loss.</w:t>
      </w:r>
    </w:p>
    <w:p w:rsidR="00CE3659" w:rsidRDefault="00CE3659" w:rsidP="007A5EAE"/>
    <w:p w:rsidR="007A5EAE" w:rsidRPr="003F5B5A" w:rsidRDefault="007A5EAE" w:rsidP="007A5EAE">
      <w:pPr>
        <w:rPr>
          <w:b/>
          <w:u w:val="single"/>
        </w:rPr>
      </w:pPr>
      <w:r w:rsidRPr="003F5B5A">
        <w:rPr>
          <w:b/>
          <w:u w:val="single"/>
        </w:rPr>
        <w:t>ISRP Suggestions:</w:t>
      </w:r>
    </w:p>
    <w:p w:rsidR="00884084" w:rsidRDefault="00884084" w:rsidP="00884084">
      <w:r>
        <w:t>The ISRP recommended additional “experimental approaches like NOAA’s delayed mortality project (</w:t>
      </w:r>
      <w:r w:rsidR="000A4C9A">
        <w:t xml:space="preserve">project </w:t>
      </w:r>
      <w:r>
        <w:t xml:space="preserve">2003-041-00) could help address some of the key uncertainties associated with </w:t>
      </w:r>
      <w:proofErr w:type="spellStart"/>
      <w:r>
        <w:t>hydrosystem</w:t>
      </w:r>
      <w:proofErr w:type="spellEnd"/>
      <w:r>
        <w:t xml:space="preserve"> passage through the four lower Snake River dams.  This type of work should be explored further and expanded.”</w:t>
      </w:r>
    </w:p>
    <w:p w:rsidR="00BD3C06" w:rsidRDefault="00BD3C06" w:rsidP="00884084"/>
    <w:p w:rsidR="00CE3659" w:rsidRPr="009D234C" w:rsidRDefault="00BD3C06" w:rsidP="00CE3659">
      <w:r>
        <w:t xml:space="preserve">The ISRP called for more effort “to identify tagging techniques to minimize PIT-tag loss and to account for variable tag loss.”  </w:t>
      </w:r>
      <w:r w:rsidR="00EB3866">
        <w:t xml:space="preserve">As noted above, PIT-tagging protocols have been developed and are being used in the Columbia Basin to minimize tag loss.  </w:t>
      </w:r>
      <w:r>
        <w:t xml:space="preserve">The ISRP also recommended “a sensitivity analysis be conducted to assess how tag loss can bias and alter survival estimates related to </w:t>
      </w:r>
      <w:proofErr w:type="spellStart"/>
      <w:r>
        <w:t>hydrosystem</w:t>
      </w:r>
      <w:proofErr w:type="spellEnd"/>
      <w:r>
        <w:t xml:space="preserve"> passage RM&amp;E.</w:t>
      </w:r>
      <w:r w:rsidR="00CE3659">
        <w:t xml:space="preserve">  This recommendation is largely consistent with language in the Fish and Wildlife Program which states “the [study] metrics selected should minimize the risk to wild fish from tagging and handling.”  Accordingly, a sensitivity analysis could be conducted to assess how tag loss can bias or alter survival estimates related to </w:t>
      </w:r>
      <w:proofErr w:type="spellStart"/>
      <w:r w:rsidR="00CE3659">
        <w:t>hydrosystem</w:t>
      </w:r>
      <w:proofErr w:type="spellEnd"/>
      <w:r w:rsidR="00CE3659">
        <w:t xml:space="preserve"> passage RM&amp;E.</w:t>
      </w:r>
    </w:p>
    <w:p w:rsidR="00BD3C06" w:rsidRDefault="00BD3C06" w:rsidP="00BD3C06"/>
    <w:p w:rsidR="00884084" w:rsidRDefault="00884084" w:rsidP="00884084">
      <w:r>
        <w:t>The ISRP also suggested a need for “an ecosystem program centered on the reservoirs and estuary… and a need to “link the inter-relationships between all the major species (</w:t>
      </w:r>
      <w:proofErr w:type="spellStart"/>
      <w:r>
        <w:t>salmonids</w:t>
      </w:r>
      <w:proofErr w:type="spellEnd"/>
      <w:r>
        <w:t xml:space="preserve">, sturgeon, lamprey, </w:t>
      </w:r>
      <w:proofErr w:type="spellStart"/>
      <w:r>
        <w:t>pikeminnow</w:t>
      </w:r>
      <w:proofErr w:type="spellEnd"/>
      <w:r>
        <w:t xml:space="preserve">, shad, cyprinids and others)” with a food web focus.  Staff notes that such a program would need to be carefully designed to ensure it produced results of direct use to managers.  The ISRP suggested some of the key elements that could be addressed in a food web synthesis include “invasive species (particularly shad), food and space limitations/competition, and predation in the context of </w:t>
      </w:r>
      <w:proofErr w:type="spellStart"/>
      <w:r>
        <w:t>depensatory</w:t>
      </w:r>
      <w:proofErr w:type="spellEnd"/>
      <w:r>
        <w:t xml:space="preserve"> mortality, perhaps in an umbrella type project examining </w:t>
      </w:r>
      <w:proofErr w:type="spellStart"/>
      <w:r>
        <w:t>hydrosystem</w:t>
      </w:r>
      <w:proofErr w:type="spellEnd"/>
      <w:r>
        <w:t xml:space="preserve"> spill and transport survival estimates through the reservoirs and estuary.”</w:t>
      </w:r>
    </w:p>
    <w:p w:rsidR="00884084" w:rsidRDefault="00884084" w:rsidP="00884084"/>
    <w:p w:rsidR="00CE3659" w:rsidRDefault="00CE3659" w:rsidP="00884084"/>
    <w:p w:rsidR="00E63088" w:rsidRDefault="00E63088" w:rsidP="00563D2B">
      <w:r>
        <w:rPr>
          <w:b/>
          <w:u w:val="single"/>
        </w:rPr>
        <w:t>Relation to Council Questions</w:t>
      </w:r>
    </w:p>
    <w:p w:rsidR="004A6628" w:rsidRDefault="00AA1263" w:rsidP="005254AF">
      <w:r>
        <w:t xml:space="preserve">The Council formed several policy issues as questions in July 2010.  The projects within </w:t>
      </w:r>
      <w:r w:rsidR="00EB3866">
        <w:t>this programmatic area are typic</w:t>
      </w:r>
      <w:r>
        <w:t xml:space="preserve">ally well-defined for the purposes of addressing objectives relative to the Fish and Wildlife Program needs.  PIT and other tagging projects provide information pertaining to migration and survival of both juvenile and adult </w:t>
      </w:r>
      <w:proofErr w:type="spellStart"/>
      <w:r>
        <w:t>salmonids</w:t>
      </w:r>
      <w:proofErr w:type="spellEnd"/>
      <w:r>
        <w:t xml:space="preserve"> through the </w:t>
      </w:r>
      <w:proofErr w:type="spellStart"/>
      <w:r>
        <w:t>mainstem</w:t>
      </w:r>
      <w:proofErr w:type="spellEnd"/>
      <w:r>
        <w:t xml:space="preserve"> hydropower system, provide key life history information on Snake River </w:t>
      </w:r>
      <w:proofErr w:type="spellStart"/>
      <w:r>
        <w:t>salmonids</w:t>
      </w:r>
      <w:proofErr w:type="spellEnd"/>
      <w:r>
        <w:t>, and can also address HLIs by providing SAR data</w:t>
      </w:r>
      <w:r w:rsidR="00EB3866">
        <w:t xml:space="preserve"> for those tributaries with PIT-</w:t>
      </w:r>
      <w:r>
        <w:t>t</w:t>
      </w:r>
      <w:r w:rsidR="004A6628">
        <w:t xml:space="preserve">ag detectors.  As a rule, these </w:t>
      </w:r>
      <w:r>
        <w:t>tagging p</w:t>
      </w:r>
      <w:r w:rsidR="007D35F1">
        <w:t xml:space="preserve">rojects are well coordinated with </w:t>
      </w:r>
      <w:r>
        <w:t xml:space="preserve">tagging </w:t>
      </w:r>
      <w:r w:rsidR="007D35F1">
        <w:t xml:space="preserve">projects </w:t>
      </w:r>
      <w:r>
        <w:t>elsewhere in the basin</w:t>
      </w:r>
      <w:r w:rsidR="007D35F1">
        <w:t>, e.g., they are implemented in an integrated, cost-effective manner.</w:t>
      </w:r>
    </w:p>
    <w:p w:rsidR="004A6628" w:rsidRDefault="004A6628" w:rsidP="005254AF"/>
    <w:p w:rsidR="009F48EF" w:rsidRDefault="004A6628" w:rsidP="009F48EF">
      <w:r>
        <w:t xml:space="preserve">For example, </w:t>
      </w:r>
      <w:r w:rsidR="0012705D">
        <w:t xml:space="preserve">marked fish utilized in </w:t>
      </w:r>
      <w:r w:rsidR="009F48EF">
        <w:t xml:space="preserve">the CSS </w:t>
      </w:r>
      <w:r w:rsidR="0012705D">
        <w:t>project</w:t>
      </w:r>
      <w:r w:rsidR="009F48EF">
        <w:t xml:space="preserve"> 1996-020-00 and project 1993-029-00 may be from groups PIT-</w:t>
      </w:r>
      <w:r w:rsidR="0012705D">
        <w:t>tagg</w:t>
      </w:r>
      <w:r w:rsidR="009F48EF">
        <w:t>ed specifically for those projects</w:t>
      </w:r>
      <w:r w:rsidR="0012705D">
        <w:t xml:space="preserve"> or from marked groups planned for other research studies.  Wherever possible</w:t>
      </w:r>
      <w:r w:rsidR="009F48EF">
        <w:t>,</w:t>
      </w:r>
      <w:r w:rsidR="0012705D">
        <w:t xml:space="preserve"> the CSS </w:t>
      </w:r>
      <w:r w:rsidR="009F48EF">
        <w:t>project us</w:t>
      </w:r>
      <w:r w:rsidR="0012705D">
        <w:t xml:space="preserve">es mark groups from other research </w:t>
      </w:r>
      <w:r w:rsidR="009F48EF">
        <w:t xml:space="preserve">projects </w:t>
      </w:r>
      <w:r w:rsidR="0012705D">
        <w:t xml:space="preserve">and coordinates with other marking programs to meet CSS </w:t>
      </w:r>
      <w:r w:rsidR="009F48EF">
        <w:t xml:space="preserve">tagging </w:t>
      </w:r>
      <w:r w:rsidR="0012705D">
        <w:t xml:space="preserve">requirements to reduce costs and handling of fish.  To that end, the CSS </w:t>
      </w:r>
      <w:r w:rsidR="009F48EF">
        <w:t xml:space="preserve">project </w:t>
      </w:r>
      <w:r w:rsidR="0012705D">
        <w:t xml:space="preserve">has a history of </w:t>
      </w:r>
      <w:r w:rsidR="0082114A">
        <w:t xml:space="preserve">regional </w:t>
      </w:r>
      <w:r w:rsidR="0012705D">
        <w:t xml:space="preserve">collaboration and is currently </w:t>
      </w:r>
      <w:r w:rsidR="0082114A">
        <w:lastRenderedPageBreak/>
        <w:t xml:space="preserve">cooperating with numerous </w:t>
      </w:r>
      <w:r w:rsidR="009F48EF">
        <w:t>other agencies in the PIT-tagging</w:t>
      </w:r>
      <w:r w:rsidR="0012705D">
        <w:t xml:space="preserve"> of </w:t>
      </w:r>
      <w:proofErr w:type="spellStart"/>
      <w:r w:rsidR="0012705D">
        <w:t>smolts</w:t>
      </w:r>
      <w:proofErr w:type="spellEnd"/>
      <w:r w:rsidR="0012705D">
        <w:t xml:space="preserve">.  </w:t>
      </w:r>
      <w:r w:rsidR="0082114A">
        <w:t>For example, a</w:t>
      </w:r>
      <w:r w:rsidR="0012705D">
        <w:t xml:space="preserve">ll of the </w:t>
      </w:r>
      <w:proofErr w:type="spellStart"/>
      <w:r w:rsidR="0012705D">
        <w:t>smolts</w:t>
      </w:r>
      <w:proofErr w:type="spellEnd"/>
      <w:r w:rsidR="0012705D">
        <w:t xml:space="preserve"> marked and pre-assigned during the 2010 migration year are outlined in Tables </w:t>
      </w:r>
      <w:r w:rsidR="009F48EF">
        <w:t>2-4</w:t>
      </w:r>
      <w:r w:rsidR="0012705D">
        <w:t>.</w:t>
      </w:r>
    </w:p>
    <w:p w:rsidR="0012705D" w:rsidRDefault="0012705D" w:rsidP="009F48EF">
      <w:r>
        <w:t xml:space="preserve"> </w:t>
      </w:r>
    </w:p>
    <w:p w:rsidR="00EB3866" w:rsidRDefault="0012705D" w:rsidP="0012705D">
      <w:r>
        <w:t xml:space="preserve">The CSS </w:t>
      </w:r>
      <w:r w:rsidR="009F48EF">
        <w:t xml:space="preserve">and other tagging projects </w:t>
      </w:r>
      <w:r>
        <w:t xml:space="preserve">will continue coordination efforts to avoid redundancy and save costs as recommended by the ISAB/ISRP reviews (2007 and 2009).  Collaboration on </w:t>
      </w:r>
      <w:r w:rsidR="009F48EF">
        <w:t xml:space="preserve">tagging </w:t>
      </w:r>
      <w:r>
        <w:t xml:space="preserve">Snake River </w:t>
      </w:r>
      <w:r w:rsidR="009F48EF">
        <w:t>B</w:t>
      </w:r>
      <w:r>
        <w:t>asin hatchery fish in recent years includes those with the marking programs of the Lower Snake River Compensation Plan.  Specifically</w:t>
      </w:r>
      <w:r w:rsidR="009F48EF">
        <w:t>,</w:t>
      </w:r>
      <w:r>
        <w:t xml:space="preserve"> this includes Idaho </w:t>
      </w:r>
      <w:r w:rsidR="009F48EF">
        <w:t xml:space="preserve">Department of </w:t>
      </w:r>
      <w:r>
        <w:t>Fish and Game, Oregon Department of Fish and Wildlife, and Washington Department</w:t>
      </w:r>
      <w:r w:rsidR="009F48EF">
        <w:t xml:space="preserve"> of Fish and Wildlife (Table 2).  T</w:t>
      </w:r>
      <w:r>
        <w:t>he CSS</w:t>
      </w:r>
      <w:r w:rsidR="009F48EF">
        <w:t xml:space="preserve"> project</w:t>
      </w:r>
      <w:r>
        <w:t xml:space="preserve"> has </w:t>
      </w:r>
      <w:r w:rsidR="009F48EF">
        <w:t xml:space="preserve">also </w:t>
      </w:r>
      <w:r>
        <w:t xml:space="preserve">collaborated with Idaho Power Company (IPC) and the U.S. Fish and Wildlife Service (USFWS). </w:t>
      </w:r>
      <w:r w:rsidR="007D35F1">
        <w:t xml:space="preserve"> </w:t>
      </w:r>
    </w:p>
    <w:p w:rsidR="00EB3866" w:rsidRDefault="00EB3866" w:rsidP="005254AF"/>
    <w:p w:rsidR="005254AF" w:rsidRDefault="007D35F1" w:rsidP="005254AF">
      <w:r>
        <w:t xml:space="preserve">The </w:t>
      </w:r>
      <w:r w:rsidR="00E41225">
        <w:t xml:space="preserve">Program’s </w:t>
      </w:r>
      <w:r>
        <w:t xml:space="preserve">tagging projects </w:t>
      </w:r>
      <w:r w:rsidR="00EB3866">
        <w:t xml:space="preserve">also </w:t>
      </w:r>
      <w:r>
        <w:t>address most of the Council’s questions regarding major Program management questions and associated HLIs, and are also responsive to 2008 Bi</w:t>
      </w:r>
      <w:r w:rsidR="008337AB">
        <w:t xml:space="preserve">ological </w:t>
      </w:r>
      <w:r>
        <w:t>Op</w:t>
      </w:r>
      <w:r w:rsidR="008337AB">
        <w:t>inion</w:t>
      </w:r>
      <w:r>
        <w:t xml:space="preserve"> RPAs.  In addition, there is little overlap of objectives or duplication of data collection among the group of tagging projects.  </w:t>
      </w:r>
      <w:r w:rsidR="00E41225">
        <w:t xml:space="preserve">Data from all the PIT-tag projects is submitted into the PITAGIS (project 1990-080-00) open source information and data base system, which manages all the Columbia Basin’s PIT-tag mark/detection event data.  </w:t>
      </w:r>
      <w:r>
        <w:t xml:space="preserve">Finally, these tagging projects </w:t>
      </w:r>
      <w:r w:rsidR="00E41225">
        <w:t xml:space="preserve">are </w:t>
      </w:r>
      <w:r>
        <w:t>provid</w:t>
      </w:r>
      <w:r w:rsidR="00E41225">
        <w:t>ing</w:t>
      </w:r>
      <w:r w:rsidR="005254AF">
        <w:t xml:space="preserve"> the region with</w:t>
      </w:r>
      <w:r>
        <w:t xml:space="preserve"> </w:t>
      </w:r>
      <w:r w:rsidR="005254AF">
        <w:t xml:space="preserve">important data sets in terms of monitoring the status of fish populations, evaluating the effectiveness of management actions, and resolving critical uncertainties in recovery strategies.  </w:t>
      </w:r>
    </w:p>
    <w:p w:rsidR="00E63088" w:rsidRPr="00E63088" w:rsidRDefault="00E63088" w:rsidP="00563D2B"/>
    <w:p w:rsidR="00E63088" w:rsidRPr="00E63088" w:rsidRDefault="00E63088" w:rsidP="00563D2B"/>
    <w:p w:rsidR="007A5EAE" w:rsidRPr="003F5B5A" w:rsidRDefault="007A5EAE" w:rsidP="00563D2B">
      <w:pPr>
        <w:rPr>
          <w:b/>
          <w:u w:val="single"/>
        </w:rPr>
      </w:pPr>
      <w:r w:rsidRPr="003F5B5A">
        <w:rPr>
          <w:b/>
          <w:u w:val="single"/>
        </w:rPr>
        <w:t>Possible Options:</w:t>
      </w:r>
    </w:p>
    <w:p w:rsidR="007A5EAE" w:rsidRDefault="005E4949" w:rsidP="00563D2B">
      <w:r>
        <w:t xml:space="preserve">1 </w:t>
      </w:r>
      <w:r w:rsidR="00F16BC0">
        <w:t>–</w:t>
      </w:r>
      <w:r>
        <w:t xml:space="preserve"> </w:t>
      </w:r>
      <w:r w:rsidR="00F16BC0">
        <w:t>Recommend continued funding of the PIT and other tagging projects for a period of five years.</w:t>
      </w:r>
    </w:p>
    <w:p w:rsidR="00F16BC0" w:rsidRDefault="00F16BC0" w:rsidP="00563D2B"/>
    <w:p w:rsidR="00F16BC0" w:rsidRDefault="00F16BC0" w:rsidP="00563D2B">
      <w:r>
        <w:t xml:space="preserve">2 – Recommend two years of continued funding of </w:t>
      </w:r>
      <w:r w:rsidR="004F0AED">
        <w:t xml:space="preserve">all of </w:t>
      </w:r>
      <w:r>
        <w:t xml:space="preserve">the PIT and other tagging projects conditional on completion of the 2013 NMFS </w:t>
      </w:r>
      <w:proofErr w:type="spellStart"/>
      <w:r>
        <w:t>BiOp</w:t>
      </w:r>
      <w:proofErr w:type="spellEnd"/>
      <w:r>
        <w:t xml:space="preserve"> check-in report</w:t>
      </w:r>
      <w:r w:rsidR="00513A81">
        <w:t>, development of a regional PIT tag plan</w:t>
      </w:r>
      <w:r>
        <w:t xml:space="preserve"> and </w:t>
      </w:r>
      <w:r w:rsidR="004F0AED">
        <w:t xml:space="preserve">completion of the </w:t>
      </w:r>
      <w:r w:rsidR="00513A81">
        <w:t>review of LSRCP hatcheries</w:t>
      </w:r>
      <w:r>
        <w:t>.  Make any adju</w:t>
      </w:r>
      <w:r w:rsidR="004F0AED">
        <w:t>sted funding recommendations by the</w:t>
      </w:r>
      <w:r w:rsidR="00513A81">
        <w:t xml:space="preserve"> end of </w:t>
      </w:r>
      <w:r w:rsidR="004F0AED">
        <w:t xml:space="preserve">FY </w:t>
      </w:r>
      <w:r>
        <w:t>2013.</w:t>
      </w:r>
    </w:p>
    <w:p w:rsidR="004F0AED" w:rsidRDefault="004F0AED" w:rsidP="00563D2B"/>
    <w:p w:rsidR="004F0AED" w:rsidRDefault="004F0AED" w:rsidP="004F0AED">
      <w:r>
        <w:t>3—</w:t>
      </w:r>
      <w:r>
        <w:rPr>
          <w:b/>
        </w:rPr>
        <w:t>(Staff preferred)</w:t>
      </w:r>
      <w:r>
        <w:t xml:space="preserve"> Except for projects 2003-041-00, 1991-029-00 and 2002-032-00, recommend continued funding of the PIT and other tagging projects for a period of five years.  Recommend funding for project 2003-041-00 through FY 2014, as this project is in process of collecting adult return data from the transport study and should be completed by then.  Recommend two years of continued funding for projects 1991-029-00 and 2002-032-00 conditional on completion of the 2013 NMFS Bi</w:t>
      </w:r>
      <w:r w:rsidR="008337AB">
        <w:t xml:space="preserve">ological </w:t>
      </w:r>
      <w:r>
        <w:t>Op</w:t>
      </w:r>
      <w:r w:rsidR="008337AB">
        <w:t>inion</w:t>
      </w:r>
      <w:r>
        <w:t xml:space="preserve"> check-in report and the review of LSRCP </w:t>
      </w:r>
      <w:r w:rsidR="00A610B3">
        <w:t xml:space="preserve">fall Chinook salmon </w:t>
      </w:r>
      <w:r>
        <w:t xml:space="preserve">hatcheries.  </w:t>
      </w:r>
    </w:p>
    <w:p w:rsidR="004F0AED" w:rsidRPr="004F0AED" w:rsidRDefault="004F0AED" w:rsidP="00563D2B"/>
    <w:p w:rsidR="00BC378F" w:rsidRDefault="00BC378F" w:rsidP="00563D2B">
      <w:pPr>
        <w:rPr>
          <w:b/>
          <w:u w:val="single"/>
        </w:rPr>
      </w:pPr>
    </w:p>
    <w:p w:rsidR="00BC378F" w:rsidRDefault="00BC378F">
      <w:pPr>
        <w:rPr>
          <w:b/>
          <w:u w:val="single"/>
        </w:rPr>
      </w:pPr>
      <w:r>
        <w:rPr>
          <w:b/>
          <w:u w:val="single"/>
        </w:rPr>
        <w:br w:type="page"/>
      </w:r>
    </w:p>
    <w:p w:rsidR="00C06E10" w:rsidRDefault="00AF7B1F" w:rsidP="00563D2B">
      <w:pPr>
        <w:rPr>
          <w:b/>
          <w:u w:val="single"/>
        </w:rPr>
      </w:pPr>
      <w:r>
        <w:rPr>
          <w:b/>
          <w:u w:val="single"/>
        </w:rPr>
        <w:lastRenderedPageBreak/>
        <w:t>Table 1--</w:t>
      </w:r>
      <w:r w:rsidR="00CE3659">
        <w:rPr>
          <w:b/>
          <w:u w:val="single"/>
        </w:rPr>
        <w:t>List of tagging p</w:t>
      </w:r>
      <w:r w:rsidR="00C06E10">
        <w:rPr>
          <w:b/>
          <w:u w:val="single"/>
        </w:rPr>
        <w:t>rojects included in this programmatic</w:t>
      </w:r>
      <w:r w:rsidR="00406A78">
        <w:rPr>
          <w:b/>
          <w:u w:val="single"/>
        </w:rPr>
        <w:t xml:space="preserve"> issue</w:t>
      </w:r>
      <w:r w:rsidR="00C06E10">
        <w:rPr>
          <w:b/>
          <w:u w:val="single"/>
        </w:rPr>
        <w:t>:</w:t>
      </w:r>
    </w:p>
    <w:p w:rsidR="00406A78" w:rsidRDefault="00406A78" w:rsidP="007A5EAE">
      <w:pPr>
        <w:tabs>
          <w:tab w:val="left" w:pos="6300"/>
        </w:tabs>
        <w:rPr>
          <w:b/>
          <w:u w:val="single"/>
        </w:rPr>
      </w:pPr>
    </w:p>
    <w:tbl>
      <w:tblPr>
        <w:tblW w:w="1020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8"/>
        <w:gridCol w:w="2898"/>
        <w:gridCol w:w="2322"/>
        <w:gridCol w:w="983"/>
        <w:gridCol w:w="838"/>
        <w:gridCol w:w="2199"/>
      </w:tblGrid>
      <w:tr w:rsidR="006362A6" w:rsidRPr="00442F06" w:rsidTr="00F672DC">
        <w:trPr>
          <w:trHeight w:val="255"/>
        </w:trPr>
        <w:tc>
          <w:tcPr>
            <w:tcW w:w="977" w:type="dxa"/>
          </w:tcPr>
          <w:p w:rsidR="007A5EAE" w:rsidRPr="0052496A" w:rsidRDefault="007A5EAE" w:rsidP="00D73213">
            <w:pPr>
              <w:rPr>
                <w:b/>
                <w:sz w:val="20"/>
                <w:szCs w:val="20"/>
              </w:rPr>
            </w:pPr>
            <w:r w:rsidRPr="0052496A">
              <w:rPr>
                <w:b/>
                <w:sz w:val="20"/>
                <w:szCs w:val="20"/>
              </w:rPr>
              <w:t>Project #</w:t>
            </w:r>
          </w:p>
        </w:tc>
        <w:tc>
          <w:tcPr>
            <w:tcW w:w="2999" w:type="dxa"/>
          </w:tcPr>
          <w:p w:rsidR="007A5EAE" w:rsidRPr="0052496A" w:rsidRDefault="007A5EAE" w:rsidP="00D73213">
            <w:pPr>
              <w:rPr>
                <w:b/>
                <w:sz w:val="20"/>
                <w:szCs w:val="20"/>
              </w:rPr>
            </w:pPr>
            <w:r w:rsidRPr="0052496A">
              <w:rPr>
                <w:b/>
                <w:sz w:val="20"/>
                <w:szCs w:val="20"/>
              </w:rPr>
              <w:t>Project Title</w:t>
            </w:r>
          </w:p>
        </w:tc>
        <w:tc>
          <w:tcPr>
            <w:tcW w:w="2340" w:type="dxa"/>
          </w:tcPr>
          <w:p w:rsidR="007A5EAE" w:rsidRPr="0052496A" w:rsidRDefault="007A5EAE" w:rsidP="00D73213">
            <w:pPr>
              <w:rPr>
                <w:b/>
                <w:sz w:val="20"/>
                <w:szCs w:val="20"/>
              </w:rPr>
            </w:pPr>
            <w:r w:rsidRPr="0052496A">
              <w:rPr>
                <w:b/>
                <w:sz w:val="20"/>
                <w:szCs w:val="20"/>
              </w:rPr>
              <w:t>Sponsors</w:t>
            </w:r>
          </w:p>
        </w:tc>
        <w:tc>
          <w:tcPr>
            <w:tcW w:w="838" w:type="dxa"/>
          </w:tcPr>
          <w:p w:rsidR="007A5EAE" w:rsidRPr="003F5B5A" w:rsidRDefault="003F5B5A" w:rsidP="00D73213">
            <w:pPr>
              <w:rPr>
                <w:b/>
                <w:sz w:val="20"/>
                <w:szCs w:val="20"/>
              </w:rPr>
            </w:pPr>
            <w:r w:rsidRPr="003F5B5A">
              <w:rPr>
                <w:b/>
                <w:sz w:val="20"/>
                <w:szCs w:val="20"/>
              </w:rPr>
              <w:t>F&amp;WL</w:t>
            </w:r>
          </w:p>
          <w:p w:rsidR="003F5B5A" w:rsidRPr="007A5EAE" w:rsidRDefault="003F5B5A" w:rsidP="00D73213">
            <w:pPr>
              <w:rPr>
                <w:b/>
                <w:color w:val="FF0000"/>
                <w:sz w:val="20"/>
                <w:szCs w:val="20"/>
              </w:rPr>
            </w:pPr>
            <w:r w:rsidRPr="003F5B5A">
              <w:rPr>
                <w:b/>
                <w:sz w:val="20"/>
                <w:szCs w:val="20"/>
              </w:rPr>
              <w:t>Program</w:t>
            </w:r>
          </w:p>
        </w:tc>
        <w:tc>
          <w:tcPr>
            <w:tcW w:w="782" w:type="dxa"/>
          </w:tcPr>
          <w:p w:rsidR="007A5EAE" w:rsidRPr="003F5B5A" w:rsidRDefault="007A5EAE" w:rsidP="00D73213">
            <w:pPr>
              <w:rPr>
                <w:b/>
                <w:sz w:val="20"/>
                <w:szCs w:val="20"/>
              </w:rPr>
            </w:pPr>
            <w:proofErr w:type="spellStart"/>
            <w:r w:rsidRPr="003F5B5A">
              <w:rPr>
                <w:b/>
                <w:sz w:val="20"/>
                <w:szCs w:val="20"/>
              </w:rPr>
              <w:t>BiOp</w:t>
            </w:r>
            <w:proofErr w:type="spellEnd"/>
            <w:r w:rsidR="003F5B5A" w:rsidRPr="003F5B5A">
              <w:rPr>
                <w:b/>
                <w:sz w:val="20"/>
                <w:szCs w:val="20"/>
              </w:rPr>
              <w:t>/</w:t>
            </w:r>
          </w:p>
          <w:p w:rsidR="003F5B5A" w:rsidRPr="007A5EAE" w:rsidRDefault="003F5B5A" w:rsidP="00D73213">
            <w:pPr>
              <w:rPr>
                <w:b/>
                <w:color w:val="FF0000"/>
                <w:sz w:val="20"/>
                <w:szCs w:val="20"/>
              </w:rPr>
            </w:pPr>
            <w:r w:rsidRPr="003F5B5A">
              <w:rPr>
                <w:b/>
                <w:sz w:val="20"/>
                <w:szCs w:val="20"/>
              </w:rPr>
              <w:t>Accord</w:t>
            </w:r>
          </w:p>
        </w:tc>
        <w:tc>
          <w:tcPr>
            <w:tcW w:w="2272" w:type="dxa"/>
          </w:tcPr>
          <w:p w:rsidR="007A5EAE" w:rsidRDefault="007A5EAE" w:rsidP="00D73213">
            <w:pPr>
              <w:rPr>
                <w:b/>
                <w:sz w:val="20"/>
                <w:szCs w:val="20"/>
              </w:rPr>
            </w:pPr>
            <w:r>
              <w:rPr>
                <w:b/>
                <w:sz w:val="20"/>
                <w:szCs w:val="20"/>
              </w:rPr>
              <w:t>Funding Req. Annual</w:t>
            </w:r>
          </w:p>
          <w:p w:rsidR="007A5EAE" w:rsidRPr="003F5B5A" w:rsidRDefault="007A5EAE" w:rsidP="00590B62">
            <w:pPr>
              <w:rPr>
                <w:b/>
                <w:sz w:val="20"/>
                <w:szCs w:val="20"/>
              </w:rPr>
            </w:pPr>
            <w:r w:rsidRPr="003F5B5A">
              <w:rPr>
                <w:b/>
                <w:sz w:val="20"/>
                <w:szCs w:val="20"/>
              </w:rPr>
              <w:t>FY 2012-201</w:t>
            </w:r>
            <w:r w:rsidR="00590B62" w:rsidRPr="003F5B5A">
              <w:rPr>
                <w:b/>
                <w:sz w:val="20"/>
                <w:szCs w:val="20"/>
              </w:rPr>
              <w:t>4</w:t>
            </w:r>
          </w:p>
        </w:tc>
      </w:tr>
      <w:tr w:rsidR="006362A6" w:rsidRPr="00442F06" w:rsidTr="00F672DC">
        <w:trPr>
          <w:trHeight w:val="255"/>
        </w:trPr>
        <w:tc>
          <w:tcPr>
            <w:tcW w:w="977" w:type="dxa"/>
          </w:tcPr>
          <w:p w:rsidR="007A5EAE" w:rsidRPr="00203929" w:rsidRDefault="00590B62" w:rsidP="00203929">
            <w:pPr>
              <w:rPr>
                <w:sz w:val="20"/>
                <w:szCs w:val="20"/>
              </w:rPr>
            </w:pPr>
            <w:r>
              <w:rPr>
                <w:sz w:val="20"/>
                <w:szCs w:val="20"/>
              </w:rPr>
              <w:t>19</w:t>
            </w:r>
            <w:r w:rsidR="007A5EAE" w:rsidRPr="00203929">
              <w:rPr>
                <w:sz w:val="20"/>
                <w:szCs w:val="20"/>
              </w:rPr>
              <w:t>8</w:t>
            </w:r>
            <w:r>
              <w:rPr>
                <w:sz w:val="20"/>
                <w:szCs w:val="20"/>
              </w:rPr>
              <w:t>3</w:t>
            </w:r>
            <w:r w:rsidR="007A5EAE" w:rsidRPr="00203929">
              <w:rPr>
                <w:sz w:val="20"/>
                <w:szCs w:val="20"/>
              </w:rPr>
              <w:t>-</w:t>
            </w:r>
          </w:p>
          <w:p w:rsidR="007A5EAE" w:rsidRPr="00D17856" w:rsidRDefault="00590B62" w:rsidP="00203929">
            <w:pPr>
              <w:rPr>
                <w:sz w:val="20"/>
                <w:szCs w:val="20"/>
              </w:rPr>
            </w:pPr>
            <w:r>
              <w:rPr>
                <w:sz w:val="20"/>
                <w:szCs w:val="20"/>
              </w:rPr>
              <w:t>319</w:t>
            </w:r>
            <w:r w:rsidR="007A5EAE" w:rsidRPr="00203929">
              <w:rPr>
                <w:sz w:val="20"/>
                <w:szCs w:val="20"/>
              </w:rPr>
              <w:t>-00</w:t>
            </w:r>
          </w:p>
        </w:tc>
        <w:tc>
          <w:tcPr>
            <w:tcW w:w="2999" w:type="dxa"/>
          </w:tcPr>
          <w:p w:rsidR="007A5EAE" w:rsidRPr="00D17856" w:rsidRDefault="00B91403" w:rsidP="002F266D">
            <w:pPr>
              <w:rPr>
                <w:sz w:val="20"/>
                <w:szCs w:val="20"/>
              </w:rPr>
            </w:pPr>
            <w:r>
              <w:rPr>
                <w:sz w:val="20"/>
                <w:szCs w:val="20"/>
              </w:rPr>
              <w:t>Deve</w:t>
            </w:r>
            <w:r w:rsidR="00513A81">
              <w:rPr>
                <w:sz w:val="20"/>
                <w:szCs w:val="20"/>
              </w:rPr>
              <w:t>l</w:t>
            </w:r>
            <w:r>
              <w:rPr>
                <w:sz w:val="20"/>
                <w:szCs w:val="20"/>
              </w:rPr>
              <w:t xml:space="preserve">opment and Evaluation of Fish-Tracking </w:t>
            </w:r>
            <w:r w:rsidR="00590B62">
              <w:rPr>
                <w:sz w:val="20"/>
                <w:szCs w:val="20"/>
              </w:rPr>
              <w:t>Technologies</w:t>
            </w:r>
          </w:p>
        </w:tc>
        <w:tc>
          <w:tcPr>
            <w:tcW w:w="2340" w:type="dxa"/>
          </w:tcPr>
          <w:p w:rsidR="007A5EAE" w:rsidRPr="00D17856" w:rsidRDefault="00590B62" w:rsidP="00D73213">
            <w:pPr>
              <w:rPr>
                <w:sz w:val="20"/>
                <w:szCs w:val="20"/>
              </w:rPr>
            </w:pPr>
            <w:r>
              <w:rPr>
                <w:sz w:val="20"/>
                <w:szCs w:val="20"/>
              </w:rPr>
              <w:t>NOAA</w:t>
            </w:r>
            <w:r w:rsidR="00B91403">
              <w:rPr>
                <w:sz w:val="20"/>
                <w:szCs w:val="20"/>
              </w:rPr>
              <w:t>-NWFSC</w:t>
            </w:r>
          </w:p>
        </w:tc>
        <w:tc>
          <w:tcPr>
            <w:tcW w:w="838" w:type="dxa"/>
          </w:tcPr>
          <w:p w:rsidR="007A5EAE" w:rsidRDefault="003F5B5A" w:rsidP="003F5B5A">
            <w:pPr>
              <w:jc w:val="center"/>
              <w:rPr>
                <w:sz w:val="20"/>
                <w:szCs w:val="20"/>
              </w:rPr>
            </w:pPr>
            <w:r>
              <w:rPr>
                <w:sz w:val="20"/>
                <w:szCs w:val="20"/>
              </w:rPr>
              <w:t>X</w:t>
            </w:r>
          </w:p>
        </w:tc>
        <w:tc>
          <w:tcPr>
            <w:tcW w:w="782" w:type="dxa"/>
          </w:tcPr>
          <w:p w:rsidR="007A5EAE" w:rsidRDefault="003F5B5A" w:rsidP="00284EC4">
            <w:pPr>
              <w:rPr>
                <w:sz w:val="20"/>
                <w:szCs w:val="20"/>
              </w:rPr>
            </w:pPr>
            <w:proofErr w:type="spellStart"/>
            <w:r>
              <w:rPr>
                <w:sz w:val="20"/>
                <w:szCs w:val="20"/>
              </w:rPr>
              <w:t>BiOp</w:t>
            </w:r>
            <w:proofErr w:type="spellEnd"/>
          </w:p>
        </w:tc>
        <w:tc>
          <w:tcPr>
            <w:tcW w:w="2272" w:type="dxa"/>
          </w:tcPr>
          <w:p w:rsidR="007A5EAE" w:rsidRDefault="00590B62" w:rsidP="00590B62">
            <w:pPr>
              <w:rPr>
                <w:sz w:val="20"/>
                <w:szCs w:val="20"/>
              </w:rPr>
            </w:pPr>
            <w:r>
              <w:rPr>
                <w:sz w:val="20"/>
                <w:szCs w:val="20"/>
              </w:rPr>
              <w:t>$</w:t>
            </w:r>
            <w:r w:rsidR="00C05EE0">
              <w:rPr>
                <w:sz w:val="20"/>
                <w:szCs w:val="20"/>
              </w:rPr>
              <w:t xml:space="preserve">   </w:t>
            </w:r>
            <w:r>
              <w:rPr>
                <w:sz w:val="20"/>
                <w:szCs w:val="20"/>
              </w:rPr>
              <w:t>892</w:t>
            </w:r>
            <w:r w:rsidR="007A5EAE">
              <w:rPr>
                <w:sz w:val="20"/>
                <w:szCs w:val="20"/>
              </w:rPr>
              <w:t>,</w:t>
            </w:r>
            <w:r>
              <w:rPr>
                <w:sz w:val="20"/>
                <w:szCs w:val="20"/>
              </w:rPr>
              <w:t>54</w:t>
            </w:r>
            <w:r w:rsidR="007A5EAE">
              <w:rPr>
                <w:sz w:val="20"/>
                <w:szCs w:val="20"/>
              </w:rPr>
              <w:t>1</w:t>
            </w:r>
            <w:r w:rsidR="00C05EE0">
              <w:rPr>
                <w:sz w:val="20"/>
                <w:szCs w:val="20"/>
              </w:rPr>
              <w:t xml:space="preserve"> </w:t>
            </w:r>
            <w:r w:rsidR="007A5EAE">
              <w:rPr>
                <w:sz w:val="20"/>
                <w:szCs w:val="20"/>
              </w:rPr>
              <w:t xml:space="preserve"> (FY 2012)</w:t>
            </w:r>
          </w:p>
          <w:p w:rsidR="00590B62" w:rsidRDefault="00590B62" w:rsidP="00590B62">
            <w:pPr>
              <w:rPr>
                <w:sz w:val="20"/>
                <w:szCs w:val="20"/>
              </w:rPr>
            </w:pPr>
            <w:r>
              <w:rPr>
                <w:sz w:val="20"/>
                <w:szCs w:val="20"/>
              </w:rPr>
              <w:t>$1,090,820</w:t>
            </w:r>
            <w:r w:rsidR="00C05EE0">
              <w:rPr>
                <w:sz w:val="20"/>
                <w:szCs w:val="20"/>
              </w:rPr>
              <w:t xml:space="preserve"> </w:t>
            </w:r>
            <w:r>
              <w:rPr>
                <w:sz w:val="20"/>
                <w:szCs w:val="20"/>
              </w:rPr>
              <w:t xml:space="preserve"> (FY</w:t>
            </w:r>
            <w:r w:rsidR="00962E63">
              <w:rPr>
                <w:sz w:val="20"/>
                <w:szCs w:val="20"/>
              </w:rPr>
              <w:t xml:space="preserve"> </w:t>
            </w:r>
            <w:r>
              <w:rPr>
                <w:sz w:val="20"/>
                <w:szCs w:val="20"/>
              </w:rPr>
              <w:t>2013)</w:t>
            </w:r>
          </w:p>
          <w:p w:rsidR="00590B62" w:rsidRDefault="00590B62" w:rsidP="00590B62">
            <w:pPr>
              <w:rPr>
                <w:sz w:val="20"/>
                <w:szCs w:val="20"/>
              </w:rPr>
            </w:pPr>
            <w:r>
              <w:rPr>
                <w:sz w:val="20"/>
                <w:szCs w:val="20"/>
              </w:rPr>
              <w:t>$</w:t>
            </w:r>
            <w:r w:rsidR="00C05EE0">
              <w:rPr>
                <w:sz w:val="20"/>
                <w:szCs w:val="20"/>
              </w:rPr>
              <w:t xml:space="preserve">   </w:t>
            </w:r>
            <w:r>
              <w:rPr>
                <w:sz w:val="20"/>
                <w:szCs w:val="20"/>
              </w:rPr>
              <w:t>274,925</w:t>
            </w:r>
            <w:r w:rsidR="00C05EE0">
              <w:rPr>
                <w:sz w:val="20"/>
                <w:szCs w:val="20"/>
              </w:rPr>
              <w:t xml:space="preserve"> </w:t>
            </w:r>
            <w:r>
              <w:rPr>
                <w:sz w:val="20"/>
                <w:szCs w:val="20"/>
              </w:rPr>
              <w:t xml:space="preserve"> (FY</w:t>
            </w:r>
            <w:r w:rsidR="00962E63">
              <w:rPr>
                <w:sz w:val="20"/>
                <w:szCs w:val="20"/>
              </w:rPr>
              <w:t xml:space="preserve"> </w:t>
            </w:r>
            <w:r>
              <w:rPr>
                <w:sz w:val="20"/>
                <w:szCs w:val="20"/>
              </w:rPr>
              <w:t>2014)</w:t>
            </w:r>
          </w:p>
          <w:p w:rsidR="00590B62" w:rsidRPr="00D17856" w:rsidRDefault="00C05EE0" w:rsidP="00590B62">
            <w:pPr>
              <w:rPr>
                <w:sz w:val="20"/>
                <w:szCs w:val="20"/>
              </w:rPr>
            </w:pPr>
            <w:r w:rsidRPr="00C05EE0">
              <w:rPr>
                <w:i/>
                <w:sz w:val="20"/>
                <w:szCs w:val="20"/>
              </w:rPr>
              <w:t xml:space="preserve">$   </w:t>
            </w:r>
            <w:proofErr w:type="gramStart"/>
            <w:r w:rsidRPr="00C05EE0">
              <w:rPr>
                <w:i/>
                <w:sz w:val="20"/>
                <w:szCs w:val="20"/>
              </w:rPr>
              <w:t>752,762  (</w:t>
            </w:r>
            <w:proofErr w:type="gramEnd"/>
            <w:r w:rsidRPr="00C05EE0">
              <w:rPr>
                <w:i/>
                <w:sz w:val="20"/>
                <w:szCs w:val="20"/>
              </w:rPr>
              <w:t>3-yr. avg.</w:t>
            </w:r>
            <w:r w:rsidR="00590B62" w:rsidRPr="00C05EE0">
              <w:rPr>
                <w:i/>
                <w:sz w:val="20"/>
                <w:szCs w:val="20"/>
              </w:rPr>
              <w:t>)</w:t>
            </w:r>
          </w:p>
        </w:tc>
      </w:tr>
      <w:tr w:rsidR="006362A6" w:rsidRPr="00442F06" w:rsidTr="00F672DC">
        <w:trPr>
          <w:trHeight w:val="255"/>
        </w:trPr>
        <w:tc>
          <w:tcPr>
            <w:tcW w:w="977" w:type="dxa"/>
          </w:tcPr>
          <w:p w:rsidR="007A5EAE" w:rsidRPr="008A5070" w:rsidRDefault="00F672DC" w:rsidP="008A5070">
            <w:pPr>
              <w:rPr>
                <w:iCs/>
                <w:sz w:val="20"/>
                <w:szCs w:val="20"/>
              </w:rPr>
            </w:pPr>
            <w:r>
              <w:rPr>
                <w:iCs/>
                <w:sz w:val="20"/>
                <w:szCs w:val="20"/>
              </w:rPr>
              <w:t>2001</w:t>
            </w:r>
            <w:r w:rsidR="007A5EAE" w:rsidRPr="008A5070">
              <w:rPr>
                <w:iCs/>
                <w:sz w:val="20"/>
                <w:szCs w:val="20"/>
              </w:rPr>
              <w:t>-</w:t>
            </w:r>
          </w:p>
          <w:p w:rsidR="007A5EAE" w:rsidRPr="008A5070" w:rsidRDefault="00F672DC" w:rsidP="008A5070">
            <w:pPr>
              <w:rPr>
                <w:iCs/>
                <w:sz w:val="20"/>
                <w:szCs w:val="20"/>
              </w:rPr>
            </w:pPr>
            <w:r>
              <w:rPr>
                <w:iCs/>
                <w:sz w:val="20"/>
                <w:szCs w:val="20"/>
              </w:rPr>
              <w:t>003</w:t>
            </w:r>
            <w:r w:rsidR="007A5EAE" w:rsidRPr="008A5070">
              <w:rPr>
                <w:iCs/>
                <w:sz w:val="20"/>
                <w:szCs w:val="20"/>
              </w:rPr>
              <w:t>-00</w:t>
            </w:r>
          </w:p>
        </w:tc>
        <w:tc>
          <w:tcPr>
            <w:tcW w:w="2999" w:type="dxa"/>
          </w:tcPr>
          <w:p w:rsidR="007A5EAE" w:rsidRPr="00F672DC" w:rsidRDefault="00F672DC" w:rsidP="00F672DC">
            <w:pPr>
              <w:rPr>
                <w:iCs/>
                <w:sz w:val="20"/>
                <w:szCs w:val="20"/>
              </w:rPr>
            </w:pPr>
            <w:r>
              <w:rPr>
                <w:iCs/>
                <w:sz w:val="20"/>
                <w:szCs w:val="20"/>
              </w:rPr>
              <w:t>Installation</w:t>
            </w:r>
            <w:r w:rsidR="00C05EE0">
              <w:rPr>
                <w:iCs/>
                <w:sz w:val="20"/>
                <w:szCs w:val="20"/>
              </w:rPr>
              <w:t xml:space="preserve"> and Evaluation</w:t>
            </w:r>
            <w:r w:rsidR="00DF5509">
              <w:rPr>
                <w:iCs/>
                <w:sz w:val="20"/>
                <w:szCs w:val="20"/>
              </w:rPr>
              <w:t xml:space="preserve"> of Established PIT-tag Technologies</w:t>
            </w:r>
          </w:p>
        </w:tc>
        <w:tc>
          <w:tcPr>
            <w:tcW w:w="2340" w:type="dxa"/>
          </w:tcPr>
          <w:p w:rsidR="007A5EAE" w:rsidRPr="008A5070" w:rsidRDefault="007A5EAE" w:rsidP="00D73213">
            <w:pPr>
              <w:rPr>
                <w:iCs/>
                <w:sz w:val="20"/>
                <w:szCs w:val="20"/>
              </w:rPr>
            </w:pPr>
            <w:r>
              <w:rPr>
                <w:iCs/>
                <w:sz w:val="20"/>
                <w:szCs w:val="20"/>
              </w:rPr>
              <w:t>NOAA</w:t>
            </w:r>
            <w:r w:rsidR="00F672DC">
              <w:rPr>
                <w:iCs/>
                <w:sz w:val="20"/>
                <w:szCs w:val="20"/>
              </w:rPr>
              <w:t xml:space="preserve"> and Pacific States Marine Fisheries Commission (PSMFC)</w:t>
            </w:r>
          </w:p>
        </w:tc>
        <w:tc>
          <w:tcPr>
            <w:tcW w:w="838" w:type="dxa"/>
          </w:tcPr>
          <w:p w:rsidR="007A5EAE" w:rsidRPr="003F5B5A" w:rsidRDefault="003F5B5A" w:rsidP="003F5B5A">
            <w:pPr>
              <w:jc w:val="center"/>
              <w:rPr>
                <w:iCs/>
                <w:sz w:val="20"/>
                <w:szCs w:val="20"/>
              </w:rPr>
            </w:pPr>
            <w:r>
              <w:rPr>
                <w:iCs/>
                <w:sz w:val="20"/>
                <w:szCs w:val="20"/>
              </w:rPr>
              <w:t>X</w:t>
            </w:r>
          </w:p>
        </w:tc>
        <w:tc>
          <w:tcPr>
            <w:tcW w:w="782" w:type="dxa"/>
          </w:tcPr>
          <w:p w:rsidR="007A5EAE" w:rsidRPr="00DF5509" w:rsidRDefault="003F5B5A" w:rsidP="00D73213">
            <w:pPr>
              <w:rPr>
                <w:iCs/>
                <w:sz w:val="20"/>
                <w:szCs w:val="20"/>
              </w:rPr>
            </w:pPr>
            <w:proofErr w:type="spellStart"/>
            <w:r>
              <w:rPr>
                <w:iCs/>
                <w:sz w:val="20"/>
                <w:szCs w:val="20"/>
              </w:rPr>
              <w:t>BiOp</w:t>
            </w:r>
            <w:proofErr w:type="spellEnd"/>
          </w:p>
        </w:tc>
        <w:tc>
          <w:tcPr>
            <w:tcW w:w="2272" w:type="dxa"/>
          </w:tcPr>
          <w:p w:rsidR="007A5EAE" w:rsidRDefault="00C05EE0" w:rsidP="00C05EE0">
            <w:pPr>
              <w:rPr>
                <w:iCs/>
                <w:sz w:val="20"/>
                <w:szCs w:val="20"/>
              </w:rPr>
            </w:pPr>
            <w:r w:rsidRPr="00C05EE0">
              <w:rPr>
                <w:iCs/>
                <w:sz w:val="20"/>
                <w:szCs w:val="20"/>
              </w:rPr>
              <w:t>$</w:t>
            </w:r>
            <w:r>
              <w:rPr>
                <w:iCs/>
                <w:sz w:val="20"/>
                <w:szCs w:val="20"/>
              </w:rPr>
              <w:t xml:space="preserve">   </w:t>
            </w:r>
            <w:r w:rsidRPr="00C05EE0">
              <w:rPr>
                <w:iCs/>
                <w:sz w:val="20"/>
                <w:szCs w:val="20"/>
              </w:rPr>
              <w:t>280</w:t>
            </w:r>
            <w:r w:rsidR="007A5EAE" w:rsidRPr="00C05EE0">
              <w:rPr>
                <w:iCs/>
                <w:sz w:val="20"/>
                <w:szCs w:val="20"/>
              </w:rPr>
              <w:t>,</w:t>
            </w:r>
            <w:r w:rsidRPr="00C05EE0">
              <w:rPr>
                <w:iCs/>
                <w:sz w:val="20"/>
                <w:szCs w:val="20"/>
              </w:rPr>
              <w:t>681</w:t>
            </w:r>
            <w:r>
              <w:rPr>
                <w:i/>
                <w:iCs/>
                <w:sz w:val="20"/>
                <w:szCs w:val="20"/>
              </w:rPr>
              <w:t xml:space="preserve"> </w:t>
            </w:r>
            <w:r>
              <w:rPr>
                <w:iCs/>
                <w:sz w:val="20"/>
                <w:szCs w:val="20"/>
              </w:rPr>
              <w:t xml:space="preserve"> </w:t>
            </w:r>
            <w:r w:rsidRPr="00C05EE0">
              <w:rPr>
                <w:iCs/>
                <w:sz w:val="20"/>
                <w:szCs w:val="20"/>
              </w:rPr>
              <w:t>(FY 2012)</w:t>
            </w:r>
          </w:p>
          <w:p w:rsidR="00C05EE0" w:rsidRDefault="00C05EE0" w:rsidP="00C05EE0">
            <w:pPr>
              <w:rPr>
                <w:iCs/>
                <w:sz w:val="20"/>
                <w:szCs w:val="20"/>
              </w:rPr>
            </w:pPr>
            <w:r>
              <w:rPr>
                <w:iCs/>
                <w:sz w:val="20"/>
                <w:szCs w:val="20"/>
              </w:rPr>
              <w:t>$2,168,331  (FY</w:t>
            </w:r>
            <w:r w:rsidR="00962E63">
              <w:rPr>
                <w:iCs/>
                <w:sz w:val="20"/>
                <w:szCs w:val="20"/>
              </w:rPr>
              <w:t xml:space="preserve"> </w:t>
            </w:r>
            <w:r>
              <w:rPr>
                <w:iCs/>
                <w:sz w:val="20"/>
                <w:szCs w:val="20"/>
              </w:rPr>
              <w:t>2013)</w:t>
            </w:r>
          </w:p>
          <w:p w:rsidR="00C05EE0" w:rsidRDefault="00C05EE0" w:rsidP="00C05EE0">
            <w:pPr>
              <w:rPr>
                <w:iCs/>
                <w:sz w:val="20"/>
                <w:szCs w:val="20"/>
              </w:rPr>
            </w:pPr>
            <w:r>
              <w:rPr>
                <w:iCs/>
                <w:sz w:val="20"/>
                <w:szCs w:val="20"/>
              </w:rPr>
              <w:t>$2,648,616  (FY</w:t>
            </w:r>
            <w:r w:rsidR="00962E63">
              <w:rPr>
                <w:iCs/>
                <w:sz w:val="20"/>
                <w:szCs w:val="20"/>
              </w:rPr>
              <w:t xml:space="preserve"> </w:t>
            </w:r>
            <w:r>
              <w:rPr>
                <w:iCs/>
                <w:sz w:val="20"/>
                <w:szCs w:val="20"/>
              </w:rPr>
              <w:t>2014)</w:t>
            </w:r>
          </w:p>
          <w:p w:rsidR="00C05EE0" w:rsidRPr="00C05EE0" w:rsidRDefault="00C05EE0" w:rsidP="00C05EE0">
            <w:pPr>
              <w:rPr>
                <w:i/>
                <w:iCs/>
                <w:sz w:val="20"/>
                <w:szCs w:val="20"/>
              </w:rPr>
            </w:pPr>
            <w:r w:rsidRPr="00C05EE0">
              <w:rPr>
                <w:i/>
                <w:iCs/>
                <w:sz w:val="20"/>
                <w:szCs w:val="20"/>
              </w:rPr>
              <w:t>$</w:t>
            </w:r>
            <w:proofErr w:type="gramStart"/>
            <w:r w:rsidRPr="00C05EE0">
              <w:rPr>
                <w:i/>
                <w:iCs/>
                <w:sz w:val="20"/>
                <w:szCs w:val="20"/>
              </w:rPr>
              <w:t>1,699,209  (</w:t>
            </w:r>
            <w:proofErr w:type="gramEnd"/>
            <w:r w:rsidRPr="00C05EE0">
              <w:rPr>
                <w:i/>
                <w:iCs/>
                <w:sz w:val="20"/>
                <w:szCs w:val="20"/>
              </w:rPr>
              <w:t>3-yr. avg.)</w:t>
            </w:r>
          </w:p>
        </w:tc>
      </w:tr>
      <w:tr w:rsidR="006362A6" w:rsidRPr="00442F06" w:rsidTr="00F672DC">
        <w:trPr>
          <w:trHeight w:val="255"/>
        </w:trPr>
        <w:tc>
          <w:tcPr>
            <w:tcW w:w="977" w:type="dxa"/>
          </w:tcPr>
          <w:p w:rsidR="007A5EAE" w:rsidRPr="008A5070" w:rsidRDefault="00280E35" w:rsidP="008A5070">
            <w:pPr>
              <w:rPr>
                <w:iCs/>
                <w:sz w:val="20"/>
                <w:szCs w:val="20"/>
              </w:rPr>
            </w:pPr>
            <w:r>
              <w:rPr>
                <w:iCs/>
                <w:sz w:val="20"/>
                <w:szCs w:val="20"/>
              </w:rPr>
              <w:t>1990</w:t>
            </w:r>
            <w:r w:rsidR="007A5EAE" w:rsidRPr="008A5070">
              <w:rPr>
                <w:iCs/>
                <w:sz w:val="20"/>
                <w:szCs w:val="20"/>
              </w:rPr>
              <w:t>-</w:t>
            </w:r>
          </w:p>
          <w:p w:rsidR="007A5EAE" w:rsidRPr="008A5070" w:rsidRDefault="00280E35" w:rsidP="008A5070">
            <w:pPr>
              <w:rPr>
                <w:iCs/>
                <w:sz w:val="20"/>
                <w:szCs w:val="20"/>
              </w:rPr>
            </w:pPr>
            <w:r>
              <w:rPr>
                <w:iCs/>
                <w:sz w:val="20"/>
                <w:szCs w:val="20"/>
              </w:rPr>
              <w:t>080</w:t>
            </w:r>
            <w:r w:rsidR="007A5EAE" w:rsidRPr="008A5070">
              <w:rPr>
                <w:iCs/>
                <w:sz w:val="20"/>
                <w:szCs w:val="20"/>
              </w:rPr>
              <w:t>-0</w:t>
            </w:r>
            <w:r w:rsidR="007A5EAE">
              <w:rPr>
                <w:iCs/>
                <w:sz w:val="20"/>
                <w:szCs w:val="20"/>
              </w:rPr>
              <w:t>0</w:t>
            </w:r>
          </w:p>
        </w:tc>
        <w:tc>
          <w:tcPr>
            <w:tcW w:w="2999" w:type="dxa"/>
          </w:tcPr>
          <w:p w:rsidR="007A5EAE" w:rsidRPr="008A5070" w:rsidRDefault="00280E35" w:rsidP="00280E35">
            <w:pPr>
              <w:rPr>
                <w:iCs/>
                <w:sz w:val="20"/>
                <w:szCs w:val="20"/>
              </w:rPr>
            </w:pPr>
            <w:r>
              <w:rPr>
                <w:iCs/>
                <w:sz w:val="20"/>
                <w:szCs w:val="20"/>
              </w:rPr>
              <w:t>Columbia Basin PIT-Tag Information System (PITAGIS)</w:t>
            </w:r>
          </w:p>
        </w:tc>
        <w:tc>
          <w:tcPr>
            <w:tcW w:w="2340" w:type="dxa"/>
          </w:tcPr>
          <w:p w:rsidR="007A5EAE" w:rsidRPr="008A5070" w:rsidRDefault="00280E35" w:rsidP="008A5070">
            <w:pPr>
              <w:rPr>
                <w:iCs/>
                <w:sz w:val="20"/>
                <w:szCs w:val="20"/>
              </w:rPr>
            </w:pPr>
            <w:r>
              <w:rPr>
                <w:iCs/>
                <w:sz w:val="20"/>
                <w:szCs w:val="20"/>
              </w:rPr>
              <w:t>PSMFC</w:t>
            </w:r>
          </w:p>
        </w:tc>
        <w:tc>
          <w:tcPr>
            <w:tcW w:w="838" w:type="dxa"/>
          </w:tcPr>
          <w:p w:rsidR="007A5EAE" w:rsidRPr="003F5B5A" w:rsidRDefault="003F5B5A" w:rsidP="003F5B5A">
            <w:pPr>
              <w:jc w:val="center"/>
              <w:rPr>
                <w:iCs/>
                <w:sz w:val="20"/>
                <w:szCs w:val="20"/>
              </w:rPr>
            </w:pPr>
            <w:r>
              <w:rPr>
                <w:iCs/>
                <w:sz w:val="20"/>
                <w:szCs w:val="20"/>
              </w:rPr>
              <w:t>X</w:t>
            </w:r>
          </w:p>
        </w:tc>
        <w:tc>
          <w:tcPr>
            <w:tcW w:w="782" w:type="dxa"/>
          </w:tcPr>
          <w:p w:rsidR="007A5EAE" w:rsidRPr="003F5B5A" w:rsidRDefault="00797946" w:rsidP="00AE4F56">
            <w:pPr>
              <w:rPr>
                <w:iCs/>
                <w:sz w:val="20"/>
                <w:szCs w:val="20"/>
              </w:rPr>
            </w:pPr>
            <w:proofErr w:type="spellStart"/>
            <w:r>
              <w:rPr>
                <w:iCs/>
                <w:sz w:val="20"/>
                <w:szCs w:val="20"/>
              </w:rPr>
              <w:t>BiOp</w:t>
            </w:r>
            <w:proofErr w:type="spellEnd"/>
          </w:p>
        </w:tc>
        <w:tc>
          <w:tcPr>
            <w:tcW w:w="2272" w:type="dxa"/>
          </w:tcPr>
          <w:p w:rsidR="007A5EAE" w:rsidRPr="00B15F95" w:rsidRDefault="007A5EAE" w:rsidP="00797946">
            <w:pPr>
              <w:rPr>
                <w:i/>
                <w:iCs/>
                <w:sz w:val="20"/>
                <w:szCs w:val="20"/>
              </w:rPr>
            </w:pPr>
            <w:r>
              <w:rPr>
                <w:i/>
                <w:iCs/>
                <w:sz w:val="20"/>
                <w:szCs w:val="20"/>
              </w:rPr>
              <w:t>$</w:t>
            </w:r>
            <w:r w:rsidR="00797946">
              <w:rPr>
                <w:i/>
                <w:iCs/>
                <w:sz w:val="20"/>
                <w:szCs w:val="20"/>
              </w:rPr>
              <w:t>2,6</w:t>
            </w:r>
            <w:r>
              <w:rPr>
                <w:i/>
                <w:iCs/>
                <w:sz w:val="20"/>
                <w:szCs w:val="20"/>
              </w:rPr>
              <w:t>1</w:t>
            </w:r>
            <w:r w:rsidR="00797946">
              <w:rPr>
                <w:i/>
                <w:iCs/>
                <w:sz w:val="20"/>
                <w:szCs w:val="20"/>
              </w:rPr>
              <w:t>5</w:t>
            </w:r>
            <w:r>
              <w:rPr>
                <w:i/>
                <w:iCs/>
                <w:sz w:val="20"/>
                <w:szCs w:val="20"/>
              </w:rPr>
              <w:t>,</w:t>
            </w:r>
            <w:r w:rsidR="00797946">
              <w:rPr>
                <w:i/>
                <w:iCs/>
                <w:sz w:val="20"/>
                <w:szCs w:val="20"/>
              </w:rPr>
              <w:t>0</w:t>
            </w:r>
            <w:r>
              <w:rPr>
                <w:i/>
                <w:iCs/>
                <w:sz w:val="20"/>
                <w:szCs w:val="20"/>
              </w:rPr>
              <w:t>0</w:t>
            </w:r>
            <w:r w:rsidR="00797946">
              <w:rPr>
                <w:i/>
                <w:iCs/>
                <w:sz w:val="20"/>
                <w:szCs w:val="20"/>
              </w:rPr>
              <w:t>0</w:t>
            </w:r>
            <w:r>
              <w:rPr>
                <w:i/>
                <w:iCs/>
                <w:sz w:val="20"/>
                <w:szCs w:val="20"/>
              </w:rPr>
              <w:t xml:space="preserve"> (FY</w:t>
            </w:r>
            <w:r w:rsidR="00E34CF8">
              <w:rPr>
                <w:i/>
                <w:iCs/>
                <w:sz w:val="20"/>
                <w:szCs w:val="20"/>
              </w:rPr>
              <w:t xml:space="preserve"> </w:t>
            </w:r>
            <w:r>
              <w:rPr>
                <w:i/>
                <w:iCs/>
                <w:sz w:val="20"/>
                <w:szCs w:val="20"/>
              </w:rPr>
              <w:t>2011)</w:t>
            </w:r>
          </w:p>
        </w:tc>
      </w:tr>
      <w:tr w:rsidR="006362A6" w:rsidRPr="00442F06" w:rsidTr="00F672DC">
        <w:trPr>
          <w:trHeight w:val="255"/>
        </w:trPr>
        <w:tc>
          <w:tcPr>
            <w:tcW w:w="977" w:type="dxa"/>
          </w:tcPr>
          <w:p w:rsidR="007A5EAE" w:rsidRPr="00797946" w:rsidRDefault="00F9455E" w:rsidP="008A5070">
            <w:pPr>
              <w:rPr>
                <w:iCs/>
                <w:sz w:val="20"/>
                <w:szCs w:val="20"/>
              </w:rPr>
            </w:pPr>
            <w:r>
              <w:rPr>
                <w:iCs/>
                <w:sz w:val="20"/>
                <w:szCs w:val="20"/>
              </w:rPr>
              <w:t>198</w:t>
            </w:r>
            <w:r w:rsidR="007A5EAE" w:rsidRPr="00797946">
              <w:rPr>
                <w:iCs/>
                <w:sz w:val="20"/>
                <w:szCs w:val="20"/>
              </w:rPr>
              <w:t>7-</w:t>
            </w:r>
          </w:p>
          <w:p w:rsidR="007A5EAE" w:rsidRPr="00797946" w:rsidRDefault="00F9455E" w:rsidP="008A5070">
            <w:pPr>
              <w:rPr>
                <w:iCs/>
                <w:sz w:val="20"/>
                <w:szCs w:val="20"/>
              </w:rPr>
            </w:pPr>
            <w:r>
              <w:rPr>
                <w:iCs/>
                <w:sz w:val="20"/>
                <w:szCs w:val="20"/>
              </w:rPr>
              <w:t>12</w:t>
            </w:r>
            <w:r w:rsidR="007A5EAE" w:rsidRPr="00797946">
              <w:rPr>
                <w:iCs/>
                <w:sz w:val="20"/>
                <w:szCs w:val="20"/>
              </w:rPr>
              <w:t>7-00</w:t>
            </w:r>
          </w:p>
        </w:tc>
        <w:tc>
          <w:tcPr>
            <w:tcW w:w="2999" w:type="dxa"/>
          </w:tcPr>
          <w:p w:rsidR="007A5EAE" w:rsidRPr="00797946" w:rsidRDefault="00F9455E" w:rsidP="008A5070">
            <w:pPr>
              <w:rPr>
                <w:iCs/>
                <w:sz w:val="20"/>
                <w:szCs w:val="20"/>
              </w:rPr>
            </w:pPr>
            <w:proofErr w:type="spellStart"/>
            <w:r>
              <w:rPr>
                <w:iCs/>
                <w:sz w:val="20"/>
                <w:szCs w:val="20"/>
              </w:rPr>
              <w:t>Smolt</w:t>
            </w:r>
            <w:proofErr w:type="spellEnd"/>
            <w:r>
              <w:rPr>
                <w:iCs/>
                <w:sz w:val="20"/>
                <w:szCs w:val="20"/>
              </w:rPr>
              <w:t xml:space="preserve"> Monitoring by Non-Federal Entities</w:t>
            </w:r>
          </w:p>
        </w:tc>
        <w:tc>
          <w:tcPr>
            <w:tcW w:w="2340" w:type="dxa"/>
          </w:tcPr>
          <w:p w:rsidR="007A5EAE" w:rsidRPr="00797946" w:rsidRDefault="00F9455E" w:rsidP="008A5070">
            <w:pPr>
              <w:rPr>
                <w:iCs/>
                <w:sz w:val="20"/>
                <w:szCs w:val="20"/>
              </w:rPr>
            </w:pPr>
            <w:r>
              <w:rPr>
                <w:iCs/>
                <w:sz w:val="20"/>
                <w:szCs w:val="20"/>
              </w:rPr>
              <w:t>Fish Passage Center et al.</w:t>
            </w:r>
          </w:p>
        </w:tc>
        <w:tc>
          <w:tcPr>
            <w:tcW w:w="838" w:type="dxa"/>
          </w:tcPr>
          <w:p w:rsidR="007A5EAE" w:rsidRPr="00797946" w:rsidRDefault="00F9455E" w:rsidP="00F9455E">
            <w:pPr>
              <w:jc w:val="center"/>
              <w:rPr>
                <w:iCs/>
                <w:sz w:val="20"/>
                <w:szCs w:val="20"/>
              </w:rPr>
            </w:pPr>
            <w:r>
              <w:rPr>
                <w:iCs/>
                <w:sz w:val="20"/>
                <w:szCs w:val="20"/>
              </w:rPr>
              <w:t>X</w:t>
            </w:r>
          </w:p>
        </w:tc>
        <w:tc>
          <w:tcPr>
            <w:tcW w:w="782" w:type="dxa"/>
          </w:tcPr>
          <w:p w:rsidR="007A5EAE" w:rsidRDefault="00F9455E" w:rsidP="00D73213">
            <w:pPr>
              <w:rPr>
                <w:iCs/>
                <w:sz w:val="20"/>
                <w:szCs w:val="20"/>
              </w:rPr>
            </w:pPr>
            <w:proofErr w:type="spellStart"/>
            <w:r>
              <w:rPr>
                <w:iCs/>
                <w:sz w:val="20"/>
                <w:szCs w:val="20"/>
              </w:rPr>
              <w:t>BiOp</w:t>
            </w:r>
            <w:proofErr w:type="spellEnd"/>
            <w:r w:rsidR="00167373">
              <w:rPr>
                <w:iCs/>
                <w:sz w:val="20"/>
                <w:szCs w:val="20"/>
              </w:rPr>
              <w:t>/</w:t>
            </w:r>
          </w:p>
          <w:p w:rsidR="00F9455E" w:rsidRPr="00797946" w:rsidRDefault="00F9455E" w:rsidP="00D73213">
            <w:pPr>
              <w:rPr>
                <w:iCs/>
                <w:sz w:val="20"/>
                <w:szCs w:val="20"/>
              </w:rPr>
            </w:pPr>
            <w:r>
              <w:rPr>
                <w:iCs/>
                <w:sz w:val="20"/>
                <w:szCs w:val="20"/>
              </w:rPr>
              <w:t>Accord</w:t>
            </w:r>
          </w:p>
        </w:tc>
        <w:tc>
          <w:tcPr>
            <w:tcW w:w="2272" w:type="dxa"/>
          </w:tcPr>
          <w:p w:rsidR="007A5EAE" w:rsidRDefault="007A5EAE" w:rsidP="00F9455E">
            <w:pPr>
              <w:rPr>
                <w:iCs/>
                <w:sz w:val="20"/>
                <w:szCs w:val="20"/>
              </w:rPr>
            </w:pPr>
            <w:r w:rsidRPr="00797946">
              <w:rPr>
                <w:iCs/>
                <w:sz w:val="20"/>
                <w:szCs w:val="20"/>
              </w:rPr>
              <w:t>$</w:t>
            </w:r>
            <w:r w:rsidR="00F9455E">
              <w:rPr>
                <w:iCs/>
                <w:sz w:val="20"/>
                <w:szCs w:val="20"/>
              </w:rPr>
              <w:t>2,5</w:t>
            </w:r>
            <w:r w:rsidRPr="00797946">
              <w:rPr>
                <w:iCs/>
                <w:sz w:val="20"/>
                <w:szCs w:val="20"/>
              </w:rPr>
              <w:t>2</w:t>
            </w:r>
            <w:r w:rsidR="00F9455E">
              <w:rPr>
                <w:iCs/>
                <w:sz w:val="20"/>
                <w:szCs w:val="20"/>
              </w:rPr>
              <w:t>0</w:t>
            </w:r>
            <w:r w:rsidRPr="00797946">
              <w:rPr>
                <w:iCs/>
                <w:sz w:val="20"/>
                <w:szCs w:val="20"/>
              </w:rPr>
              <w:t>,</w:t>
            </w:r>
            <w:r w:rsidR="00F9455E">
              <w:rPr>
                <w:iCs/>
                <w:sz w:val="20"/>
                <w:szCs w:val="20"/>
              </w:rPr>
              <w:t xml:space="preserve">475  </w:t>
            </w:r>
            <w:r w:rsidRPr="00797946">
              <w:rPr>
                <w:iCs/>
                <w:sz w:val="20"/>
                <w:szCs w:val="20"/>
              </w:rPr>
              <w:t>(FY 2012)</w:t>
            </w:r>
          </w:p>
          <w:p w:rsidR="00F9455E" w:rsidRDefault="00F9455E" w:rsidP="00F9455E">
            <w:pPr>
              <w:rPr>
                <w:iCs/>
                <w:sz w:val="20"/>
                <w:szCs w:val="20"/>
              </w:rPr>
            </w:pPr>
            <w:r>
              <w:rPr>
                <w:iCs/>
                <w:sz w:val="20"/>
                <w:szCs w:val="20"/>
              </w:rPr>
              <w:t>$2,583,487  (FY</w:t>
            </w:r>
            <w:r w:rsidR="00962E63">
              <w:rPr>
                <w:iCs/>
                <w:sz w:val="20"/>
                <w:szCs w:val="20"/>
              </w:rPr>
              <w:t xml:space="preserve"> </w:t>
            </w:r>
            <w:r>
              <w:rPr>
                <w:iCs/>
                <w:sz w:val="20"/>
                <w:szCs w:val="20"/>
              </w:rPr>
              <w:t>2013)</w:t>
            </w:r>
          </w:p>
          <w:p w:rsidR="00F9455E" w:rsidRDefault="00F9455E" w:rsidP="00F9455E">
            <w:pPr>
              <w:rPr>
                <w:iCs/>
                <w:sz w:val="20"/>
                <w:szCs w:val="20"/>
              </w:rPr>
            </w:pPr>
            <w:r>
              <w:rPr>
                <w:iCs/>
                <w:sz w:val="20"/>
                <w:szCs w:val="20"/>
              </w:rPr>
              <w:t>$2,648,074  (FY</w:t>
            </w:r>
            <w:r w:rsidR="00962E63">
              <w:rPr>
                <w:iCs/>
                <w:sz w:val="20"/>
                <w:szCs w:val="20"/>
              </w:rPr>
              <w:t xml:space="preserve"> </w:t>
            </w:r>
            <w:r>
              <w:rPr>
                <w:iCs/>
                <w:sz w:val="20"/>
                <w:szCs w:val="20"/>
              </w:rPr>
              <w:t>2014)</w:t>
            </w:r>
          </w:p>
          <w:p w:rsidR="00F9455E" w:rsidRPr="00F9455E" w:rsidRDefault="00F9455E" w:rsidP="00F9455E">
            <w:pPr>
              <w:rPr>
                <w:i/>
                <w:iCs/>
                <w:sz w:val="20"/>
                <w:szCs w:val="20"/>
              </w:rPr>
            </w:pPr>
            <w:r>
              <w:rPr>
                <w:i/>
                <w:iCs/>
                <w:sz w:val="20"/>
                <w:szCs w:val="20"/>
              </w:rPr>
              <w:t>$</w:t>
            </w:r>
            <w:proofErr w:type="gramStart"/>
            <w:r>
              <w:rPr>
                <w:i/>
                <w:iCs/>
                <w:sz w:val="20"/>
                <w:szCs w:val="20"/>
              </w:rPr>
              <w:t>2,584,012  (</w:t>
            </w:r>
            <w:proofErr w:type="gramEnd"/>
            <w:r>
              <w:rPr>
                <w:i/>
                <w:iCs/>
                <w:sz w:val="20"/>
                <w:szCs w:val="20"/>
              </w:rPr>
              <w:t>3-yr. avg.)</w:t>
            </w:r>
          </w:p>
        </w:tc>
      </w:tr>
      <w:tr w:rsidR="006362A6" w:rsidRPr="00442F06" w:rsidTr="00F672DC">
        <w:trPr>
          <w:trHeight w:val="255"/>
        </w:trPr>
        <w:tc>
          <w:tcPr>
            <w:tcW w:w="977" w:type="dxa"/>
          </w:tcPr>
          <w:p w:rsidR="007A5EAE" w:rsidRPr="00797946" w:rsidRDefault="00167373" w:rsidP="008A5070">
            <w:pPr>
              <w:rPr>
                <w:iCs/>
                <w:sz w:val="20"/>
                <w:szCs w:val="20"/>
              </w:rPr>
            </w:pPr>
            <w:r>
              <w:rPr>
                <w:iCs/>
                <w:sz w:val="20"/>
                <w:szCs w:val="20"/>
              </w:rPr>
              <w:t>1996</w:t>
            </w:r>
            <w:r w:rsidR="007A5EAE" w:rsidRPr="00797946">
              <w:rPr>
                <w:iCs/>
                <w:sz w:val="20"/>
                <w:szCs w:val="20"/>
              </w:rPr>
              <w:t>-</w:t>
            </w:r>
          </w:p>
          <w:p w:rsidR="007A5EAE" w:rsidRPr="00797946" w:rsidRDefault="00167373" w:rsidP="008A5070">
            <w:pPr>
              <w:rPr>
                <w:iCs/>
                <w:sz w:val="20"/>
                <w:szCs w:val="20"/>
              </w:rPr>
            </w:pPr>
            <w:r>
              <w:rPr>
                <w:iCs/>
                <w:sz w:val="20"/>
                <w:szCs w:val="20"/>
              </w:rPr>
              <w:t>020</w:t>
            </w:r>
            <w:r w:rsidR="007A5EAE" w:rsidRPr="00797946">
              <w:rPr>
                <w:iCs/>
                <w:sz w:val="20"/>
                <w:szCs w:val="20"/>
              </w:rPr>
              <w:t>-00</w:t>
            </w:r>
          </w:p>
        </w:tc>
        <w:tc>
          <w:tcPr>
            <w:tcW w:w="2999" w:type="dxa"/>
          </w:tcPr>
          <w:p w:rsidR="007A5EAE" w:rsidRPr="00797946" w:rsidRDefault="00167373" w:rsidP="008A5070">
            <w:pPr>
              <w:rPr>
                <w:iCs/>
                <w:sz w:val="20"/>
                <w:szCs w:val="20"/>
              </w:rPr>
            </w:pPr>
            <w:r>
              <w:rPr>
                <w:iCs/>
                <w:sz w:val="20"/>
                <w:szCs w:val="20"/>
              </w:rPr>
              <w:t>Comparative Survival Study (CSS)</w:t>
            </w:r>
          </w:p>
        </w:tc>
        <w:tc>
          <w:tcPr>
            <w:tcW w:w="2340" w:type="dxa"/>
          </w:tcPr>
          <w:p w:rsidR="007A5EAE" w:rsidRPr="00797946" w:rsidRDefault="00167373" w:rsidP="00D73213">
            <w:pPr>
              <w:rPr>
                <w:iCs/>
                <w:sz w:val="20"/>
                <w:szCs w:val="20"/>
              </w:rPr>
            </w:pPr>
            <w:r>
              <w:rPr>
                <w:iCs/>
                <w:sz w:val="20"/>
                <w:szCs w:val="20"/>
              </w:rPr>
              <w:t>Fish Passage Center et al.</w:t>
            </w:r>
          </w:p>
        </w:tc>
        <w:tc>
          <w:tcPr>
            <w:tcW w:w="838" w:type="dxa"/>
          </w:tcPr>
          <w:p w:rsidR="007A5EAE" w:rsidRPr="00797946" w:rsidRDefault="00167373" w:rsidP="00167373">
            <w:pPr>
              <w:jc w:val="center"/>
              <w:rPr>
                <w:iCs/>
                <w:sz w:val="20"/>
                <w:szCs w:val="20"/>
              </w:rPr>
            </w:pPr>
            <w:r>
              <w:rPr>
                <w:iCs/>
                <w:sz w:val="20"/>
                <w:szCs w:val="20"/>
              </w:rPr>
              <w:t>X</w:t>
            </w:r>
          </w:p>
        </w:tc>
        <w:tc>
          <w:tcPr>
            <w:tcW w:w="782" w:type="dxa"/>
          </w:tcPr>
          <w:p w:rsidR="00167373" w:rsidRDefault="00167373" w:rsidP="00167373">
            <w:pPr>
              <w:rPr>
                <w:iCs/>
                <w:sz w:val="20"/>
                <w:szCs w:val="20"/>
              </w:rPr>
            </w:pPr>
            <w:proofErr w:type="spellStart"/>
            <w:r>
              <w:rPr>
                <w:iCs/>
                <w:sz w:val="20"/>
                <w:szCs w:val="20"/>
              </w:rPr>
              <w:t>BiOp</w:t>
            </w:r>
            <w:proofErr w:type="spellEnd"/>
            <w:r>
              <w:rPr>
                <w:iCs/>
                <w:sz w:val="20"/>
                <w:szCs w:val="20"/>
              </w:rPr>
              <w:t>/</w:t>
            </w:r>
          </w:p>
          <w:p w:rsidR="007A5EAE" w:rsidRPr="00797946" w:rsidRDefault="00167373" w:rsidP="00167373">
            <w:pPr>
              <w:rPr>
                <w:iCs/>
                <w:sz w:val="20"/>
                <w:szCs w:val="20"/>
              </w:rPr>
            </w:pPr>
            <w:r>
              <w:rPr>
                <w:iCs/>
                <w:sz w:val="20"/>
                <w:szCs w:val="20"/>
              </w:rPr>
              <w:t>Accord</w:t>
            </w:r>
          </w:p>
        </w:tc>
        <w:tc>
          <w:tcPr>
            <w:tcW w:w="2272" w:type="dxa"/>
          </w:tcPr>
          <w:p w:rsidR="007A5EAE" w:rsidRDefault="007A5EAE" w:rsidP="00167373">
            <w:pPr>
              <w:rPr>
                <w:iCs/>
                <w:sz w:val="20"/>
                <w:szCs w:val="20"/>
              </w:rPr>
            </w:pPr>
            <w:r w:rsidRPr="00797946">
              <w:rPr>
                <w:iCs/>
                <w:sz w:val="20"/>
                <w:szCs w:val="20"/>
              </w:rPr>
              <w:t>$1</w:t>
            </w:r>
            <w:r w:rsidR="00167373">
              <w:rPr>
                <w:iCs/>
                <w:sz w:val="20"/>
                <w:szCs w:val="20"/>
              </w:rPr>
              <w:t>,344</w:t>
            </w:r>
            <w:r w:rsidRPr="00797946">
              <w:rPr>
                <w:iCs/>
                <w:sz w:val="20"/>
                <w:szCs w:val="20"/>
              </w:rPr>
              <w:t>,</w:t>
            </w:r>
            <w:r w:rsidR="00167373">
              <w:rPr>
                <w:iCs/>
                <w:sz w:val="20"/>
                <w:szCs w:val="20"/>
              </w:rPr>
              <w:t>880  (FY 2012)</w:t>
            </w:r>
          </w:p>
          <w:p w:rsidR="00167373" w:rsidRDefault="00167373" w:rsidP="00167373">
            <w:pPr>
              <w:rPr>
                <w:iCs/>
                <w:sz w:val="20"/>
                <w:szCs w:val="20"/>
              </w:rPr>
            </w:pPr>
            <w:r>
              <w:rPr>
                <w:iCs/>
                <w:sz w:val="20"/>
                <w:szCs w:val="20"/>
              </w:rPr>
              <w:t>$1,378,502  (FY 2013)</w:t>
            </w:r>
          </w:p>
          <w:p w:rsidR="00167373" w:rsidRDefault="00167373" w:rsidP="00167373">
            <w:pPr>
              <w:rPr>
                <w:iCs/>
                <w:sz w:val="20"/>
                <w:szCs w:val="20"/>
              </w:rPr>
            </w:pPr>
            <w:r>
              <w:rPr>
                <w:iCs/>
                <w:sz w:val="20"/>
                <w:szCs w:val="20"/>
              </w:rPr>
              <w:t>$1,412,965  (FY 2014)</w:t>
            </w:r>
          </w:p>
          <w:p w:rsidR="00167373" w:rsidRPr="00167373" w:rsidRDefault="00167373" w:rsidP="00167373">
            <w:pPr>
              <w:rPr>
                <w:i/>
                <w:iCs/>
                <w:sz w:val="20"/>
                <w:szCs w:val="20"/>
              </w:rPr>
            </w:pPr>
            <w:r>
              <w:rPr>
                <w:i/>
                <w:iCs/>
                <w:sz w:val="20"/>
                <w:szCs w:val="20"/>
              </w:rPr>
              <w:t>$1, 381,782 (3-yr. avg.)</w:t>
            </w:r>
          </w:p>
        </w:tc>
      </w:tr>
      <w:tr w:rsidR="006362A6" w:rsidRPr="00442F06" w:rsidTr="00F672DC">
        <w:trPr>
          <w:trHeight w:val="255"/>
        </w:trPr>
        <w:tc>
          <w:tcPr>
            <w:tcW w:w="977" w:type="dxa"/>
          </w:tcPr>
          <w:p w:rsidR="007A5EAE" w:rsidRPr="00797946" w:rsidRDefault="00174776" w:rsidP="008A5070">
            <w:pPr>
              <w:rPr>
                <w:iCs/>
                <w:sz w:val="20"/>
                <w:szCs w:val="20"/>
              </w:rPr>
            </w:pPr>
            <w:r>
              <w:rPr>
                <w:iCs/>
                <w:sz w:val="20"/>
                <w:szCs w:val="20"/>
              </w:rPr>
              <w:t>1993</w:t>
            </w:r>
            <w:r w:rsidR="007A5EAE" w:rsidRPr="00797946">
              <w:rPr>
                <w:iCs/>
                <w:sz w:val="20"/>
                <w:szCs w:val="20"/>
              </w:rPr>
              <w:t>-</w:t>
            </w:r>
          </w:p>
          <w:p w:rsidR="007A5EAE" w:rsidRPr="00797946" w:rsidRDefault="00174776" w:rsidP="008A5070">
            <w:pPr>
              <w:rPr>
                <w:iCs/>
                <w:sz w:val="20"/>
                <w:szCs w:val="20"/>
              </w:rPr>
            </w:pPr>
            <w:r>
              <w:rPr>
                <w:iCs/>
                <w:sz w:val="20"/>
                <w:szCs w:val="20"/>
              </w:rPr>
              <w:t>029</w:t>
            </w:r>
            <w:r w:rsidR="007A5EAE" w:rsidRPr="00797946">
              <w:rPr>
                <w:iCs/>
                <w:sz w:val="20"/>
                <w:szCs w:val="20"/>
              </w:rPr>
              <w:t>-00</w:t>
            </w:r>
          </w:p>
        </w:tc>
        <w:tc>
          <w:tcPr>
            <w:tcW w:w="2999" w:type="dxa"/>
          </w:tcPr>
          <w:p w:rsidR="007A5EAE" w:rsidRPr="00797946" w:rsidRDefault="00174776" w:rsidP="00012D4C">
            <w:pPr>
              <w:rPr>
                <w:iCs/>
                <w:sz w:val="20"/>
                <w:szCs w:val="20"/>
              </w:rPr>
            </w:pPr>
            <w:r>
              <w:rPr>
                <w:iCs/>
                <w:sz w:val="20"/>
                <w:szCs w:val="20"/>
              </w:rPr>
              <w:t xml:space="preserve">Survival Estimates for Passage of Juvenile </w:t>
            </w:r>
            <w:proofErr w:type="spellStart"/>
            <w:r>
              <w:rPr>
                <w:iCs/>
                <w:sz w:val="20"/>
                <w:szCs w:val="20"/>
              </w:rPr>
              <w:t>Salmonids</w:t>
            </w:r>
            <w:proofErr w:type="spellEnd"/>
            <w:r>
              <w:rPr>
                <w:iCs/>
                <w:sz w:val="20"/>
                <w:szCs w:val="20"/>
              </w:rPr>
              <w:t xml:space="preserve"> through Snake and Columbia River Dams and Reservoirs</w:t>
            </w:r>
          </w:p>
        </w:tc>
        <w:tc>
          <w:tcPr>
            <w:tcW w:w="2340" w:type="dxa"/>
          </w:tcPr>
          <w:p w:rsidR="007A5EAE" w:rsidRPr="00797946" w:rsidRDefault="00174776" w:rsidP="00D73213">
            <w:pPr>
              <w:rPr>
                <w:iCs/>
                <w:sz w:val="20"/>
                <w:szCs w:val="20"/>
              </w:rPr>
            </w:pPr>
            <w:r>
              <w:rPr>
                <w:iCs/>
                <w:sz w:val="20"/>
                <w:szCs w:val="20"/>
              </w:rPr>
              <w:t>NOAA-NWFSC</w:t>
            </w:r>
          </w:p>
        </w:tc>
        <w:tc>
          <w:tcPr>
            <w:tcW w:w="838" w:type="dxa"/>
          </w:tcPr>
          <w:p w:rsidR="007A5EAE" w:rsidRPr="00797946" w:rsidRDefault="00174776" w:rsidP="00174776">
            <w:pPr>
              <w:jc w:val="center"/>
              <w:rPr>
                <w:iCs/>
                <w:sz w:val="20"/>
                <w:szCs w:val="20"/>
              </w:rPr>
            </w:pPr>
            <w:r>
              <w:rPr>
                <w:iCs/>
                <w:sz w:val="20"/>
                <w:szCs w:val="20"/>
              </w:rPr>
              <w:t>X</w:t>
            </w:r>
          </w:p>
        </w:tc>
        <w:tc>
          <w:tcPr>
            <w:tcW w:w="782" w:type="dxa"/>
          </w:tcPr>
          <w:p w:rsidR="007A5EAE" w:rsidRPr="00797946" w:rsidRDefault="00174776" w:rsidP="00D73213">
            <w:pPr>
              <w:rPr>
                <w:iCs/>
                <w:sz w:val="20"/>
                <w:szCs w:val="20"/>
              </w:rPr>
            </w:pPr>
            <w:proofErr w:type="spellStart"/>
            <w:r>
              <w:rPr>
                <w:iCs/>
                <w:sz w:val="20"/>
                <w:szCs w:val="20"/>
              </w:rPr>
              <w:t>BiOp</w:t>
            </w:r>
            <w:proofErr w:type="spellEnd"/>
          </w:p>
        </w:tc>
        <w:tc>
          <w:tcPr>
            <w:tcW w:w="2272" w:type="dxa"/>
          </w:tcPr>
          <w:p w:rsidR="007A5EAE" w:rsidRDefault="007A5EAE" w:rsidP="00174776">
            <w:pPr>
              <w:rPr>
                <w:iCs/>
                <w:sz w:val="20"/>
                <w:szCs w:val="20"/>
              </w:rPr>
            </w:pPr>
            <w:r w:rsidRPr="00797946">
              <w:rPr>
                <w:iCs/>
                <w:sz w:val="20"/>
                <w:szCs w:val="20"/>
              </w:rPr>
              <w:t>$2</w:t>
            </w:r>
            <w:r w:rsidR="00174776">
              <w:rPr>
                <w:iCs/>
                <w:sz w:val="20"/>
                <w:szCs w:val="20"/>
              </w:rPr>
              <w:t>,720</w:t>
            </w:r>
            <w:r w:rsidRPr="00797946">
              <w:rPr>
                <w:iCs/>
                <w:sz w:val="20"/>
                <w:szCs w:val="20"/>
              </w:rPr>
              <w:t>,</w:t>
            </w:r>
            <w:r w:rsidR="00174776">
              <w:rPr>
                <w:iCs/>
                <w:sz w:val="20"/>
                <w:szCs w:val="20"/>
              </w:rPr>
              <w:t xml:space="preserve">444 </w:t>
            </w:r>
            <w:r w:rsidRPr="00797946">
              <w:rPr>
                <w:iCs/>
                <w:sz w:val="20"/>
                <w:szCs w:val="20"/>
              </w:rPr>
              <w:t xml:space="preserve"> (FY 201</w:t>
            </w:r>
            <w:r w:rsidR="00174776">
              <w:rPr>
                <w:iCs/>
                <w:sz w:val="20"/>
                <w:szCs w:val="20"/>
              </w:rPr>
              <w:t>2</w:t>
            </w:r>
            <w:r w:rsidRPr="00797946">
              <w:rPr>
                <w:iCs/>
                <w:sz w:val="20"/>
                <w:szCs w:val="20"/>
              </w:rPr>
              <w:t>)</w:t>
            </w:r>
          </w:p>
          <w:p w:rsidR="00174776" w:rsidRDefault="00174776" w:rsidP="00174776">
            <w:pPr>
              <w:rPr>
                <w:iCs/>
                <w:sz w:val="20"/>
                <w:szCs w:val="20"/>
              </w:rPr>
            </w:pPr>
            <w:r>
              <w:rPr>
                <w:iCs/>
                <w:sz w:val="20"/>
                <w:szCs w:val="20"/>
              </w:rPr>
              <w:t>$2,744,927  (FY 2013)</w:t>
            </w:r>
          </w:p>
          <w:p w:rsidR="00174776" w:rsidRDefault="00174776" w:rsidP="00174776">
            <w:pPr>
              <w:rPr>
                <w:iCs/>
                <w:sz w:val="20"/>
                <w:szCs w:val="20"/>
              </w:rPr>
            </w:pPr>
            <w:r>
              <w:rPr>
                <w:iCs/>
                <w:sz w:val="20"/>
                <w:szCs w:val="20"/>
              </w:rPr>
              <w:t>$2,769,633  (FY 2014)</w:t>
            </w:r>
          </w:p>
          <w:p w:rsidR="00174776" w:rsidRPr="00174776" w:rsidRDefault="00174776" w:rsidP="00174776">
            <w:pPr>
              <w:rPr>
                <w:i/>
                <w:iCs/>
                <w:sz w:val="20"/>
                <w:szCs w:val="20"/>
              </w:rPr>
            </w:pPr>
            <w:r>
              <w:rPr>
                <w:i/>
                <w:iCs/>
                <w:sz w:val="20"/>
                <w:szCs w:val="20"/>
              </w:rPr>
              <w:t>$</w:t>
            </w:r>
            <w:proofErr w:type="gramStart"/>
            <w:r>
              <w:rPr>
                <w:i/>
                <w:iCs/>
                <w:sz w:val="20"/>
                <w:szCs w:val="20"/>
              </w:rPr>
              <w:t>2,</w:t>
            </w:r>
            <w:r w:rsidR="00B91403">
              <w:rPr>
                <w:i/>
                <w:iCs/>
                <w:sz w:val="20"/>
                <w:szCs w:val="20"/>
              </w:rPr>
              <w:t>745,001  (</w:t>
            </w:r>
            <w:proofErr w:type="gramEnd"/>
            <w:r w:rsidR="00B91403">
              <w:rPr>
                <w:i/>
                <w:iCs/>
                <w:sz w:val="20"/>
                <w:szCs w:val="20"/>
              </w:rPr>
              <w:t>3-yr. avg.)</w:t>
            </w:r>
          </w:p>
        </w:tc>
      </w:tr>
      <w:tr w:rsidR="006362A6" w:rsidRPr="00442F06" w:rsidTr="00F672DC">
        <w:trPr>
          <w:trHeight w:val="255"/>
        </w:trPr>
        <w:tc>
          <w:tcPr>
            <w:tcW w:w="977" w:type="dxa"/>
          </w:tcPr>
          <w:p w:rsidR="002F266D" w:rsidRPr="00B91403" w:rsidRDefault="003B2D8C" w:rsidP="008A5070">
            <w:pPr>
              <w:rPr>
                <w:iCs/>
                <w:sz w:val="20"/>
                <w:szCs w:val="20"/>
              </w:rPr>
            </w:pPr>
            <w:r>
              <w:rPr>
                <w:iCs/>
                <w:sz w:val="20"/>
                <w:szCs w:val="20"/>
              </w:rPr>
              <w:t>2003-041-00</w:t>
            </w:r>
          </w:p>
        </w:tc>
        <w:tc>
          <w:tcPr>
            <w:tcW w:w="2999" w:type="dxa"/>
          </w:tcPr>
          <w:p w:rsidR="002F266D" w:rsidRPr="003B2D8C" w:rsidRDefault="003B2D8C" w:rsidP="003B2D8C">
            <w:pPr>
              <w:rPr>
                <w:iCs/>
                <w:sz w:val="20"/>
                <w:szCs w:val="20"/>
              </w:rPr>
            </w:pPr>
            <w:r w:rsidRPr="003B2D8C">
              <w:rPr>
                <w:bCs/>
                <w:kern w:val="36"/>
                <w:sz w:val="20"/>
                <w:szCs w:val="20"/>
              </w:rPr>
              <w:t>Evaluate Delayed (Extra) Mortality Associated with Passage of Yearling Chinook Salmon t</w:t>
            </w:r>
            <w:r w:rsidR="00E36B61">
              <w:rPr>
                <w:bCs/>
                <w:kern w:val="36"/>
                <w:sz w:val="20"/>
                <w:szCs w:val="20"/>
              </w:rPr>
              <w:t>hru</w:t>
            </w:r>
            <w:r w:rsidRPr="003B2D8C">
              <w:rPr>
                <w:bCs/>
                <w:kern w:val="36"/>
                <w:sz w:val="20"/>
                <w:szCs w:val="20"/>
              </w:rPr>
              <w:t xml:space="preserve"> Snake River Dams</w:t>
            </w:r>
          </w:p>
        </w:tc>
        <w:tc>
          <w:tcPr>
            <w:tcW w:w="2340" w:type="dxa"/>
          </w:tcPr>
          <w:p w:rsidR="002F266D" w:rsidRPr="00B91403" w:rsidRDefault="003B2D8C" w:rsidP="00D73213">
            <w:pPr>
              <w:rPr>
                <w:iCs/>
                <w:sz w:val="20"/>
                <w:szCs w:val="20"/>
              </w:rPr>
            </w:pPr>
            <w:r>
              <w:rPr>
                <w:iCs/>
                <w:sz w:val="20"/>
                <w:szCs w:val="20"/>
              </w:rPr>
              <w:t>NOAA-NWFSC</w:t>
            </w:r>
          </w:p>
        </w:tc>
        <w:tc>
          <w:tcPr>
            <w:tcW w:w="838" w:type="dxa"/>
          </w:tcPr>
          <w:p w:rsidR="002F266D" w:rsidRPr="00B91403" w:rsidRDefault="002F266D" w:rsidP="00D73213">
            <w:pPr>
              <w:rPr>
                <w:iCs/>
                <w:sz w:val="20"/>
                <w:szCs w:val="20"/>
              </w:rPr>
            </w:pPr>
          </w:p>
        </w:tc>
        <w:tc>
          <w:tcPr>
            <w:tcW w:w="782" w:type="dxa"/>
          </w:tcPr>
          <w:p w:rsidR="002F266D" w:rsidRPr="00B91403" w:rsidRDefault="003B2D8C" w:rsidP="00D73213">
            <w:pPr>
              <w:rPr>
                <w:iCs/>
                <w:sz w:val="20"/>
                <w:szCs w:val="20"/>
              </w:rPr>
            </w:pPr>
            <w:proofErr w:type="spellStart"/>
            <w:r>
              <w:rPr>
                <w:iCs/>
                <w:sz w:val="20"/>
                <w:szCs w:val="20"/>
              </w:rPr>
              <w:t>BiOp</w:t>
            </w:r>
            <w:proofErr w:type="spellEnd"/>
          </w:p>
        </w:tc>
        <w:tc>
          <w:tcPr>
            <w:tcW w:w="2272" w:type="dxa"/>
          </w:tcPr>
          <w:p w:rsidR="002F266D" w:rsidRDefault="003B2D8C" w:rsidP="00D73213">
            <w:pPr>
              <w:rPr>
                <w:iCs/>
                <w:sz w:val="20"/>
                <w:szCs w:val="20"/>
              </w:rPr>
            </w:pPr>
            <w:r>
              <w:rPr>
                <w:iCs/>
                <w:sz w:val="20"/>
                <w:szCs w:val="20"/>
              </w:rPr>
              <w:t>$</w:t>
            </w:r>
            <w:r w:rsidR="00E36B61">
              <w:rPr>
                <w:iCs/>
                <w:sz w:val="20"/>
                <w:szCs w:val="20"/>
              </w:rPr>
              <w:t xml:space="preserve">     71,683  (FY 2012)</w:t>
            </w:r>
          </w:p>
          <w:p w:rsidR="00E36B61" w:rsidRDefault="00E36B61" w:rsidP="00D73213">
            <w:pPr>
              <w:rPr>
                <w:iCs/>
                <w:sz w:val="20"/>
                <w:szCs w:val="20"/>
              </w:rPr>
            </w:pPr>
            <w:r>
              <w:rPr>
                <w:iCs/>
                <w:sz w:val="20"/>
                <w:szCs w:val="20"/>
              </w:rPr>
              <w:t>$     72,328  (FY 2013)</w:t>
            </w:r>
          </w:p>
          <w:p w:rsidR="00E36B61" w:rsidRDefault="00E36B61" w:rsidP="00D73213">
            <w:pPr>
              <w:rPr>
                <w:iCs/>
                <w:sz w:val="20"/>
                <w:szCs w:val="20"/>
              </w:rPr>
            </w:pPr>
            <w:r>
              <w:rPr>
                <w:iCs/>
                <w:sz w:val="20"/>
                <w:szCs w:val="20"/>
              </w:rPr>
              <w:t>$     72,979  (FY 2014)</w:t>
            </w:r>
          </w:p>
          <w:p w:rsidR="00E36B61" w:rsidRPr="00E36B61" w:rsidRDefault="00E36B61" w:rsidP="00D73213">
            <w:pPr>
              <w:rPr>
                <w:i/>
                <w:iCs/>
                <w:sz w:val="20"/>
                <w:szCs w:val="20"/>
              </w:rPr>
            </w:pPr>
            <w:r>
              <w:rPr>
                <w:i/>
                <w:iCs/>
                <w:sz w:val="20"/>
                <w:szCs w:val="20"/>
              </w:rPr>
              <w:t xml:space="preserve">$     </w:t>
            </w:r>
            <w:proofErr w:type="gramStart"/>
            <w:r>
              <w:rPr>
                <w:i/>
                <w:iCs/>
                <w:sz w:val="20"/>
                <w:szCs w:val="20"/>
              </w:rPr>
              <w:t>72,330  (</w:t>
            </w:r>
            <w:proofErr w:type="gramEnd"/>
            <w:r>
              <w:rPr>
                <w:i/>
                <w:iCs/>
                <w:sz w:val="20"/>
                <w:szCs w:val="20"/>
              </w:rPr>
              <w:t>3-yr. avg.)</w:t>
            </w:r>
          </w:p>
        </w:tc>
      </w:tr>
      <w:tr w:rsidR="006362A6" w:rsidRPr="00442F06" w:rsidTr="00F672DC">
        <w:trPr>
          <w:trHeight w:val="255"/>
        </w:trPr>
        <w:tc>
          <w:tcPr>
            <w:tcW w:w="977" w:type="dxa"/>
          </w:tcPr>
          <w:p w:rsidR="002F266D" w:rsidRPr="00B91403" w:rsidRDefault="00F15A76" w:rsidP="008A5070">
            <w:pPr>
              <w:rPr>
                <w:iCs/>
                <w:sz w:val="20"/>
                <w:szCs w:val="20"/>
              </w:rPr>
            </w:pPr>
            <w:r>
              <w:rPr>
                <w:iCs/>
                <w:sz w:val="20"/>
                <w:szCs w:val="20"/>
              </w:rPr>
              <w:t>1991-028-00</w:t>
            </w:r>
          </w:p>
        </w:tc>
        <w:tc>
          <w:tcPr>
            <w:tcW w:w="2999" w:type="dxa"/>
          </w:tcPr>
          <w:p w:rsidR="002F266D" w:rsidRPr="00B91403" w:rsidRDefault="00F15A76" w:rsidP="00012D4C">
            <w:pPr>
              <w:rPr>
                <w:iCs/>
                <w:sz w:val="20"/>
                <w:szCs w:val="20"/>
              </w:rPr>
            </w:pPr>
            <w:r>
              <w:rPr>
                <w:iCs/>
                <w:sz w:val="20"/>
                <w:szCs w:val="20"/>
              </w:rPr>
              <w:t>PIT-Tagging Wild Snake River Spring/Summer Chinook</w:t>
            </w:r>
          </w:p>
        </w:tc>
        <w:tc>
          <w:tcPr>
            <w:tcW w:w="2340" w:type="dxa"/>
          </w:tcPr>
          <w:p w:rsidR="002F266D" w:rsidRPr="00B91403" w:rsidRDefault="00F15A76" w:rsidP="00D73213">
            <w:pPr>
              <w:rPr>
                <w:iCs/>
                <w:sz w:val="20"/>
                <w:szCs w:val="20"/>
              </w:rPr>
            </w:pPr>
            <w:r>
              <w:rPr>
                <w:iCs/>
                <w:sz w:val="20"/>
                <w:szCs w:val="20"/>
              </w:rPr>
              <w:t>NOAA-NWFSC</w:t>
            </w:r>
          </w:p>
        </w:tc>
        <w:tc>
          <w:tcPr>
            <w:tcW w:w="838" w:type="dxa"/>
          </w:tcPr>
          <w:p w:rsidR="002F266D" w:rsidRPr="00B91403" w:rsidRDefault="00F15A76" w:rsidP="00F15A76">
            <w:pPr>
              <w:jc w:val="center"/>
              <w:rPr>
                <w:iCs/>
                <w:sz w:val="20"/>
                <w:szCs w:val="20"/>
              </w:rPr>
            </w:pPr>
            <w:r>
              <w:rPr>
                <w:iCs/>
                <w:sz w:val="20"/>
                <w:szCs w:val="20"/>
              </w:rPr>
              <w:t>X</w:t>
            </w:r>
          </w:p>
        </w:tc>
        <w:tc>
          <w:tcPr>
            <w:tcW w:w="782" w:type="dxa"/>
          </w:tcPr>
          <w:p w:rsidR="002F266D" w:rsidRPr="00B91403" w:rsidRDefault="00F15A76" w:rsidP="00D73213">
            <w:pPr>
              <w:rPr>
                <w:iCs/>
                <w:sz w:val="20"/>
                <w:szCs w:val="20"/>
              </w:rPr>
            </w:pPr>
            <w:proofErr w:type="spellStart"/>
            <w:r>
              <w:rPr>
                <w:iCs/>
                <w:sz w:val="20"/>
                <w:szCs w:val="20"/>
              </w:rPr>
              <w:t>BiOp</w:t>
            </w:r>
            <w:proofErr w:type="spellEnd"/>
          </w:p>
        </w:tc>
        <w:tc>
          <w:tcPr>
            <w:tcW w:w="2272" w:type="dxa"/>
          </w:tcPr>
          <w:p w:rsidR="002F266D" w:rsidRDefault="00F15A76" w:rsidP="00D73213">
            <w:pPr>
              <w:rPr>
                <w:iCs/>
                <w:sz w:val="20"/>
                <w:szCs w:val="20"/>
              </w:rPr>
            </w:pPr>
            <w:r>
              <w:rPr>
                <w:iCs/>
                <w:sz w:val="20"/>
                <w:szCs w:val="20"/>
              </w:rPr>
              <w:t>$   486,488  (FY 2012)</w:t>
            </w:r>
          </w:p>
          <w:p w:rsidR="00F15A76" w:rsidRDefault="00F15A76" w:rsidP="00D73213">
            <w:pPr>
              <w:rPr>
                <w:iCs/>
                <w:sz w:val="20"/>
                <w:szCs w:val="20"/>
              </w:rPr>
            </w:pPr>
            <w:r>
              <w:rPr>
                <w:iCs/>
                <w:sz w:val="20"/>
                <w:szCs w:val="20"/>
              </w:rPr>
              <w:t>$   490,867  (FY 2013)</w:t>
            </w:r>
          </w:p>
          <w:p w:rsidR="00F15A76" w:rsidRDefault="00F15A76" w:rsidP="00D73213">
            <w:pPr>
              <w:rPr>
                <w:iCs/>
                <w:sz w:val="20"/>
                <w:szCs w:val="20"/>
              </w:rPr>
            </w:pPr>
            <w:r>
              <w:rPr>
                <w:iCs/>
                <w:sz w:val="20"/>
                <w:szCs w:val="20"/>
              </w:rPr>
              <w:t>$   495,284  (FY 2014)</w:t>
            </w:r>
          </w:p>
          <w:p w:rsidR="00F15A76" w:rsidRPr="00F15A76" w:rsidRDefault="00F15A76" w:rsidP="00D73213">
            <w:pPr>
              <w:rPr>
                <w:i/>
                <w:iCs/>
                <w:sz w:val="20"/>
                <w:szCs w:val="20"/>
              </w:rPr>
            </w:pPr>
            <w:r>
              <w:rPr>
                <w:i/>
                <w:iCs/>
                <w:sz w:val="20"/>
                <w:szCs w:val="20"/>
              </w:rPr>
              <w:t xml:space="preserve">$   </w:t>
            </w:r>
            <w:proofErr w:type="gramStart"/>
            <w:r>
              <w:rPr>
                <w:i/>
                <w:iCs/>
                <w:sz w:val="20"/>
                <w:szCs w:val="20"/>
              </w:rPr>
              <w:t>490,880  (</w:t>
            </w:r>
            <w:proofErr w:type="gramEnd"/>
            <w:r>
              <w:rPr>
                <w:i/>
                <w:iCs/>
                <w:sz w:val="20"/>
                <w:szCs w:val="20"/>
              </w:rPr>
              <w:t>3-yr. avg.)</w:t>
            </w:r>
          </w:p>
        </w:tc>
      </w:tr>
      <w:tr w:rsidR="006362A6" w:rsidRPr="00442F06" w:rsidTr="00F672DC">
        <w:trPr>
          <w:trHeight w:val="255"/>
        </w:trPr>
        <w:tc>
          <w:tcPr>
            <w:tcW w:w="977" w:type="dxa"/>
          </w:tcPr>
          <w:p w:rsidR="00E36B61" w:rsidRPr="00B91403" w:rsidRDefault="00F15A76" w:rsidP="008A5070">
            <w:pPr>
              <w:rPr>
                <w:iCs/>
                <w:sz w:val="20"/>
                <w:szCs w:val="20"/>
              </w:rPr>
            </w:pPr>
            <w:r>
              <w:rPr>
                <w:iCs/>
                <w:sz w:val="20"/>
                <w:szCs w:val="20"/>
              </w:rPr>
              <w:t>2008-518-00</w:t>
            </w:r>
          </w:p>
        </w:tc>
        <w:tc>
          <w:tcPr>
            <w:tcW w:w="2999" w:type="dxa"/>
          </w:tcPr>
          <w:p w:rsidR="00E36B61" w:rsidRPr="00B91403" w:rsidRDefault="00F15A76" w:rsidP="00012D4C">
            <w:pPr>
              <w:rPr>
                <w:iCs/>
                <w:sz w:val="20"/>
                <w:szCs w:val="20"/>
              </w:rPr>
            </w:pPr>
            <w:r>
              <w:rPr>
                <w:iCs/>
                <w:sz w:val="20"/>
                <w:szCs w:val="20"/>
              </w:rPr>
              <w:t>Upstream Migration Timing</w:t>
            </w:r>
          </w:p>
        </w:tc>
        <w:tc>
          <w:tcPr>
            <w:tcW w:w="2340" w:type="dxa"/>
          </w:tcPr>
          <w:p w:rsidR="00E36B61" w:rsidRPr="00B91403" w:rsidRDefault="00F15A76" w:rsidP="00D73213">
            <w:pPr>
              <w:rPr>
                <w:iCs/>
                <w:sz w:val="20"/>
                <w:szCs w:val="20"/>
              </w:rPr>
            </w:pPr>
            <w:r>
              <w:rPr>
                <w:iCs/>
                <w:sz w:val="20"/>
                <w:szCs w:val="20"/>
              </w:rPr>
              <w:t>CRITFC</w:t>
            </w:r>
          </w:p>
        </w:tc>
        <w:tc>
          <w:tcPr>
            <w:tcW w:w="838" w:type="dxa"/>
          </w:tcPr>
          <w:p w:rsidR="00E36B61" w:rsidRPr="00B91403" w:rsidRDefault="00F15A76" w:rsidP="00F15A76">
            <w:pPr>
              <w:jc w:val="center"/>
              <w:rPr>
                <w:iCs/>
                <w:sz w:val="20"/>
                <w:szCs w:val="20"/>
              </w:rPr>
            </w:pPr>
            <w:r>
              <w:rPr>
                <w:iCs/>
                <w:sz w:val="20"/>
                <w:szCs w:val="20"/>
              </w:rPr>
              <w:t>X</w:t>
            </w:r>
          </w:p>
        </w:tc>
        <w:tc>
          <w:tcPr>
            <w:tcW w:w="782" w:type="dxa"/>
          </w:tcPr>
          <w:p w:rsidR="00F15A76" w:rsidRDefault="00F15A76" w:rsidP="00F15A76">
            <w:pPr>
              <w:rPr>
                <w:iCs/>
                <w:sz w:val="20"/>
                <w:szCs w:val="20"/>
              </w:rPr>
            </w:pPr>
            <w:proofErr w:type="spellStart"/>
            <w:r>
              <w:rPr>
                <w:iCs/>
                <w:sz w:val="20"/>
                <w:szCs w:val="20"/>
              </w:rPr>
              <w:t>BiOp</w:t>
            </w:r>
            <w:proofErr w:type="spellEnd"/>
            <w:r>
              <w:rPr>
                <w:iCs/>
                <w:sz w:val="20"/>
                <w:szCs w:val="20"/>
              </w:rPr>
              <w:t>/</w:t>
            </w:r>
          </w:p>
          <w:p w:rsidR="00E36B61" w:rsidRPr="00B91403" w:rsidRDefault="00F15A76" w:rsidP="00F15A76">
            <w:pPr>
              <w:rPr>
                <w:iCs/>
                <w:sz w:val="20"/>
                <w:szCs w:val="20"/>
              </w:rPr>
            </w:pPr>
            <w:r>
              <w:rPr>
                <w:iCs/>
                <w:sz w:val="20"/>
                <w:szCs w:val="20"/>
              </w:rPr>
              <w:t>Accord</w:t>
            </w:r>
          </w:p>
        </w:tc>
        <w:tc>
          <w:tcPr>
            <w:tcW w:w="2272" w:type="dxa"/>
          </w:tcPr>
          <w:p w:rsidR="00E36B61" w:rsidRDefault="00F15A76" w:rsidP="00D73213">
            <w:pPr>
              <w:rPr>
                <w:iCs/>
                <w:sz w:val="20"/>
                <w:szCs w:val="20"/>
              </w:rPr>
            </w:pPr>
            <w:r>
              <w:rPr>
                <w:iCs/>
                <w:sz w:val="20"/>
                <w:szCs w:val="20"/>
              </w:rPr>
              <w:t>$   296,145  (FY 2012)</w:t>
            </w:r>
          </w:p>
          <w:p w:rsidR="00F15A76" w:rsidRDefault="00F15A76" w:rsidP="00D73213">
            <w:pPr>
              <w:rPr>
                <w:iCs/>
                <w:sz w:val="20"/>
                <w:szCs w:val="20"/>
              </w:rPr>
            </w:pPr>
            <w:r>
              <w:rPr>
                <w:iCs/>
                <w:sz w:val="20"/>
                <w:szCs w:val="20"/>
              </w:rPr>
              <w:t>$   303,549  (FY 2013)</w:t>
            </w:r>
          </w:p>
          <w:p w:rsidR="00F15A76" w:rsidRDefault="00F15A76" w:rsidP="00D73213">
            <w:pPr>
              <w:rPr>
                <w:iCs/>
                <w:sz w:val="20"/>
                <w:szCs w:val="20"/>
              </w:rPr>
            </w:pPr>
            <w:r>
              <w:rPr>
                <w:iCs/>
                <w:sz w:val="20"/>
                <w:szCs w:val="20"/>
              </w:rPr>
              <w:t>$   311,137  (FY 2014)</w:t>
            </w:r>
          </w:p>
          <w:p w:rsidR="00F15A76" w:rsidRPr="00F15A76" w:rsidRDefault="00F15A76" w:rsidP="00D73213">
            <w:pPr>
              <w:rPr>
                <w:i/>
                <w:iCs/>
                <w:sz w:val="20"/>
                <w:szCs w:val="20"/>
              </w:rPr>
            </w:pPr>
            <w:r>
              <w:rPr>
                <w:i/>
                <w:iCs/>
                <w:sz w:val="20"/>
                <w:szCs w:val="20"/>
              </w:rPr>
              <w:t xml:space="preserve">$   </w:t>
            </w:r>
            <w:proofErr w:type="gramStart"/>
            <w:r w:rsidR="00ED5B7C">
              <w:rPr>
                <w:i/>
                <w:iCs/>
                <w:sz w:val="20"/>
                <w:szCs w:val="20"/>
              </w:rPr>
              <w:t>303,610  (</w:t>
            </w:r>
            <w:proofErr w:type="gramEnd"/>
            <w:r w:rsidR="00ED5B7C">
              <w:rPr>
                <w:i/>
                <w:iCs/>
                <w:sz w:val="20"/>
                <w:szCs w:val="20"/>
              </w:rPr>
              <w:t>3-yr. avg.)</w:t>
            </w:r>
          </w:p>
        </w:tc>
      </w:tr>
      <w:tr w:rsidR="006362A6" w:rsidRPr="00442F06" w:rsidTr="00F672DC">
        <w:trPr>
          <w:trHeight w:val="255"/>
        </w:trPr>
        <w:tc>
          <w:tcPr>
            <w:tcW w:w="977" w:type="dxa"/>
          </w:tcPr>
          <w:p w:rsidR="00E36B61" w:rsidRPr="00B91403" w:rsidRDefault="00910919" w:rsidP="008A5070">
            <w:pPr>
              <w:rPr>
                <w:iCs/>
                <w:sz w:val="20"/>
                <w:szCs w:val="20"/>
              </w:rPr>
            </w:pPr>
            <w:r>
              <w:rPr>
                <w:iCs/>
                <w:sz w:val="20"/>
                <w:szCs w:val="20"/>
              </w:rPr>
              <w:t>1991-029-00</w:t>
            </w:r>
          </w:p>
        </w:tc>
        <w:tc>
          <w:tcPr>
            <w:tcW w:w="2999" w:type="dxa"/>
          </w:tcPr>
          <w:p w:rsidR="00E36B61" w:rsidRPr="00B91403" w:rsidRDefault="00910919" w:rsidP="00012D4C">
            <w:pPr>
              <w:rPr>
                <w:iCs/>
                <w:sz w:val="20"/>
                <w:szCs w:val="20"/>
              </w:rPr>
            </w:pPr>
            <w:r>
              <w:rPr>
                <w:iCs/>
                <w:sz w:val="20"/>
                <w:szCs w:val="20"/>
              </w:rPr>
              <w:t>Research, Monitoring and Evaluation of Emerging Issues and Measures to Recover SR Fall Chinook Salmon ESU</w:t>
            </w:r>
          </w:p>
        </w:tc>
        <w:tc>
          <w:tcPr>
            <w:tcW w:w="2340" w:type="dxa"/>
          </w:tcPr>
          <w:p w:rsidR="00E36B61" w:rsidRPr="00B91403" w:rsidRDefault="00910919" w:rsidP="00D73213">
            <w:pPr>
              <w:rPr>
                <w:iCs/>
                <w:sz w:val="20"/>
                <w:szCs w:val="20"/>
              </w:rPr>
            </w:pPr>
            <w:r>
              <w:rPr>
                <w:iCs/>
                <w:sz w:val="20"/>
                <w:szCs w:val="20"/>
              </w:rPr>
              <w:t>USFWS/USGS</w:t>
            </w:r>
          </w:p>
        </w:tc>
        <w:tc>
          <w:tcPr>
            <w:tcW w:w="838" w:type="dxa"/>
          </w:tcPr>
          <w:p w:rsidR="00E36B61" w:rsidRPr="00B91403" w:rsidRDefault="00910919" w:rsidP="00910919">
            <w:pPr>
              <w:jc w:val="center"/>
              <w:rPr>
                <w:iCs/>
                <w:sz w:val="20"/>
                <w:szCs w:val="20"/>
              </w:rPr>
            </w:pPr>
            <w:r>
              <w:rPr>
                <w:iCs/>
                <w:sz w:val="20"/>
                <w:szCs w:val="20"/>
              </w:rPr>
              <w:t>X</w:t>
            </w:r>
          </w:p>
        </w:tc>
        <w:tc>
          <w:tcPr>
            <w:tcW w:w="782" w:type="dxa"/>
          </w:tcPr>
          <w:p w:rsidR="00E36B61" w:rsidRPr="00B91403" w:rsidRDefault="00910919" w:rsidP="00D73213">
            <w:pPr>
              <w:rPr>
                <w:iCs/>
                <w:sz w:val="20"/>
                <w:szCs w:val="20"/>
              </w:rPr>
            </w:pPr>
            <w:proofErr w:type="spellStart"/>
            <w:r>
              <w:rPr>
                <w:iCs/>
                <w:sz w:val="20"/>
                <w:szCs w:val="20"/>
              </w:rPr>
              <w:t>BiOp</w:t>
            </w:r>
            <w:proofErr w:type="spellEnd"/>
          </w:p>
        </w:tc>
        <w:tc>
          <w:tcPr>
            <w:tcW w:w="2272" w:type="dxa"/>
          </w:tcPr>
          <w:p w:rsidR="00E36B61" w:rsidRDefault="00910919" w:rsidP="00D73213">
            <w:pPr>
              <w:rPr>
                <w:iCs/>
                <w:sz w:val="20"/>
                <w:szCs w:val="20"/>
              </w:rPr>
            </w:pPr>
            <w:r>
              <w:rPr>
                <w:iCs/>
                <w:sz w:val="20"/>
                <w:szCs w:val="20"/>
              </w:rPr>
              <w:t>$   534,112  (FY 2012)</w:t>
            </w:r>
          </w:p>
          <w:p w:rsidR="00910919" w:rsidRDefault="00910919" w:rsidP="00D73213">
            <w:pPr>
              <w:rPr>
                <w:iCs/>
                <w:sz w:val="20"/>
                <w:szCs w:val="20"/>
              </w:rPr>
            </w:pPr>
            <w:r>
              <w:rPr>
                <w:iCs/>
                <w:sz w:val="20"/>
                <w:szCs w:val="20"/>
              </w:rPr>
              <w:t>$   534,112  (FY 201</w:t>
            </w:r>
            <w:r w:rsidR="00871AA0">
              <w:rPr>
                <w:iCs/>
                <w:sz w:val="20"/>
                <w:szCs w:val="20"/>
              </w:rPr>
              <w:t>3</w:t>
            </w:r>
            <w:r>
              <w:rPr>
                <w:iCs/>
                <w:sz w:val="20"/>
                <w:szCs w:val="20"/>
              </w:rPr>
              <w:t>)</w:t>
            </w:r>
          </w:p>
          <w:p w:rsidR="00910919" w:rsidRDefault="00871AA0" w:rsidP="00D73213">
            <w:pPr>
              <w:rPr>
                <w:iCs/>
                <w:sz w:val="20"/>
                <w:szCs w:val="20"/>
              </w:rPr>
            </w:pPr>
            <w:r>
              <w:rPr>
                <w:iCs/>
                <w:sz w:val="20"/>
                <w:szCs w:val="20"/>
              </w:rPr>
              <w:t>$   534,112  (FY 2014</w:t>
            </w:r>
            <w:r w:rsidR="00910919">
              <w:rPr>
                <w:iCs/>
                <w:sz w:val="20"/>
                <w:szCs w:val="20"/>
              </w:rPr>
              <w:t>)</w:t>
            </w:r>
          </w:p>
          <w:p w:rsidR="00910919" w:rsidRPr="00871AA0" w:rsidRDefault="00910919" w:rsidP="00871AA0">
            <w:pPr>
              <w:rPr>
                <w:i/>
                <w:iCs/>
                <w:sz w:val="20"/>
                <w:szCs w:val="20"/>
              </w:rPr>
            </w:pPr>
            <w:r w:rsidRPr="00871AA0">
              <w:rPr>
                <w:i/>
                <w:iCs/>
                <w:sz w:val="20"/>
                <w:szCs w:val="20"/>
              </w:rPr>
              <w:t xml:space="preserve">$   </w:t>
            </w:r>
            <w:proofErr w:type="gramStart"/>
            <w:r w:rsidRPr="00871AA0">
              <w:rPr>
                <w:i/>
                <w:iCs/>
                <w:sz w:val="20"/>
                <w:szCs w:val="20"/>
              </w:rPr>
              <w:t>534,112  (</w:t>
            </w:r>
            <w:proofErr w:type="gramEnd"/>
            <w:r w:rsidR="00871AA0">
              <w:rPr>
                <w:i/>
                <w:iCs/>
                <w:sz w:val="20"/>
                <w:szCs w:val="20"/>
              </w:rPr>
              <w:t>3-yr. avg.</w:t>
            </w:r>
            <w:r w:rsidRPr="00871AA0">
              <w:rPr>
                <w:i/>
                <w:iCs/>
                <w:sz w:val="20"/>
                <w:szCs w:val="20"/>
              </w:rPr>
              <w:t>)</w:t>
            </w:r>
          </w:p>
        </w:tc>
      </w:tr>
      <w:tr w:rsidR="006362A6" w:rsidRPr="00442F06" w:rsidTr="00F672DC">
        <w:trPr>
          <w:trHeight w:val="255"/>
        </w:trPr>
        <w:tc>
          <w:tcPr>
            <w:tcW w:w="977" w:type="dxa"/>
          </w:tcPr>
          <w:p w:rsidR="00910919" w:rsidRPr="00B91403" w:rsidRDefault="00871AA0" w:rsidP="008A5070">
            <w:pPr>
              <w:rPr>
                <w:iCs/>
                <w:sz w:val="20"/>
                <w:szCs w:val="20"/>
              </w:rPr>
            </w:pPr>
            <w:r>
              <w:rPr>
                <w:iCs/>
                <w:sz w:val="20"/>
                <w:szCs w:val="20"/>
              </w:rPr>
              <w:t>2010-076-00</w:t>
            </w:r>
          </w:p>
        </w:tc>
        <w:tc>
          <w:tcPr>
            <w:tcW w:w="2999" w:type="dxa"/>
          </w:tcPr>
          <w:p w:rsidR="00910919" w:rsidRPr="00B91403" w:rsidRDefault="00871AA0" w:rsidP="00012D4C">
            <w:pPr>
              <w:rPr>
                <w:iCs/>
                <w:sz w:val="20"/>
                <w:szCs w:val="20"/>
              </w:rPr>
            </w:pPr>
            <w:r>
              <w:rPr>
                <w:iCs/>
                <w:sz w:val="20"/>
                <w:szCs w:val="20"/>
              </w:rPr>
              <w:t>Characterizing Migration and Survival for Juvenile Snake River Sockeye Salmon between the Upper Salmon River Basin and Lower Granite Dam</w:t>
            </w:r>
          </w:p>
        </w:tc>
        <w:tc>
          <w:tcPr>
            <w:tcW w:w="2340" w:type="dxa"/>
          </w:tcPr>
          <w:p w:rsidR="00910919" w:rsidRPr="00B91403" w:rsidRDefault="00871AA0" w:rsidP="00D73213">
            <w:pPr>
              <w:rPr>
                <w:iCs/>
                <w:sz w:val="20"/>
                <w:szCs w:val="20"/>
              </w:rPr>
            </w:pPr>
            <w:r>
              <w:rPr>
                <w:iCs/>
                <w:sz w:val="20"/>
                <w:szCs w:val="20"/>
              </w:rPr>
              <w:t>IDFG/NOAA</w:t>
            </w:r>
          </w:p>
        </w:tc>
        <w:tc>
          <w:tcPr>
            <w:tcW w:w="838" w:type="dxa"/>
          </w:tcPr>
          <w:p w:rsidR="00910919" w:rsidRPr="00B91403" w:rsidRDefault="00871AA0" w:rsidP="00871AA0">
            <w:pPr>
              <w:jc w:val="center"/>
              <w:rPr>
                <w:iCs/>
                <w:sz w:val="20"/>
                <w:szCs w:val="20"/>
              </w:rPr>
            </w:pPr>
            <w:r>
              <w:rPr>
                <w:iCs/>
                <w:sz w:val="20"/>
                <w:szCs w:val="20"/>
              </w:rPr>
              <w:t>X</w:t>
            </w:r>
          </w:p>
        </w:tc>
        <w:tc>
          <w:tcPr>
            <w:tcW w:w="782" w:type="dxa"/>
          </w:tcPr>
          <w:p w:rsidR="00910919" w:rsidRPr="00B91403" w:rsidRDefault="00871AA0" w:rsidP="00D73213">
            <w:pPr>
              <w:rPr>
                <w:iCs/>
                <w:sz w:val="20"/>
                <w:szCs w:val="20"/>
              </w:rPr>
            </w:pPr>
            <w:proofErr w:type="spellStart"/>
            <w:r>
              <w:rPr>
                <w:iCs/>
                <w:sz w:val="20"/>
                <w:szCs w:val="20"/>
              </w:rPr>
              <w:t>BiOp</w:t>
            </w:r>
            <w:proofErr w:type="spellEnd"/>
          </w:p>
        </w:tc>
        <w:tc>
          <w:tcPr>
            <w:tcW w:w="2272" w:type="dxa"/>
          </w:tcPr>
          <w:p w:rsidR="00910919" w:rsidRDefault="00871AA0" w:rsidP="00D73213">
            <w:pPr>
              <w:rPr>
                <w:iCs/>
                <w:sz w:val="20"/>
                <w:szCs w:val="20"/>
              </w:rPr>
            </w:pPr>
            <w:r>
              <w:rPr>
                <w:iCs/>
                <w:sz w:val="20"/>
                <w:szCs w:val="20"/>
              </w:rPr>
              <w:t>$1,030,306  (FY 2012)</w:t>
            </w:r>
          </w:p>
          <w:p w:rsidR="00871AA0" w:rsidRDefault="00871AA0" w:rsidP="00D73213">
            <w:pPr>
              <w:rPr>
                <w:iCs/>
                <w:sz w:val="20"/>
                <w:szCs w:val="20"/>
              </w:rPr>
            </w:pPr>
            <w:r>
              <w:rPr>
                <w:iCs/>
                <w:sz w:val="20"/>
                <w:szCs w:val="20"/>
              </w:rPr>
              <w:t>$1,038,039  (FY 2013)</w:t>
            </w:r>
          </w:p>
          <w:p w:rsidR="00871AA0" w:rsidRDefault="00871AA0" w:rsidP="00D73213">
            <w:pPr>
              <w:rPr>
                <w:iCs/>
                <w:sz w:val="20"/>
                <w:szCs w:val="20"/>
              </w:rPr>
            </w:pPr>
            <w:r>
              <w:rPr>
                <w:iCs/>
                <w:sz w:val="20"/>
                <w:szCs w:val="20"/>
              </w:rPr>
              <w:t>$1,045,863  (FY 2014)</w:t>
            </w:r>
          </w:p>
          <w:p w:rsidR="00871AA0" w:rsidRPr="00871AA0" w:rsidRDefault="00871AA0" w:rsidP="00D73213">
            <w:pPr>
              <w:rPr>
                <w:i/>
                <w:iCs/>
                <w:sz w:val="20"/>
                <w:szCs w:val="20"/>
              </w:rPr>
            </w:pPr>
            <w:r>
              <w:rPr>
                <w:i/>
                <w:iCs/>
                <w:sz w:val="20"/>
                <w:szCs w:val="20"/>
              </w:rPr>
              <w:t>$</w:t>
            </w:r>
            <w:proofErr w:type="gramStart"/>
            <w:r>
              <w:rPr>
                <w:i/>
                <w:iCs/>
                <w:sz w:val="20"/>
                <w:szCs w:val="20"/>
              </w:rPr>
              <w:t>1,038,069  (</w:t>
            </w:r>
            <w:proofErr w:type="gramEnd"/>
            <w:r>
              <w:rPr>
                <w:i/>
                <w:iCs/>
                <w:sz w:val="20"/>
                <w:szCs w:val="20"/>
              </w:rPr>
              <w:t>3-yr. avg.)</w:t>
            </w:r>
          </w:p>
        </w:tc>
      </w:tr>
      <w:tr w:rsidR="006362A6" w:rsidRPr="00442F06" w:rsidTr="00F672DC">
        <w:trPr>
          <w:trHeight w:val="255"/>
        </w:trPr>
        <w:tc>
          <w:tcPr>
            <w:tcW w:w="977" w:type="dxa"/>
          </w:tcPr>
          <w:p w:rsidR="00871AA0" w:rsidRPr="00B91403" w:rsidRDefault="006362A6" w:rsidP="008A5070">
            <w:pPr>
              <w:rPr>
                <w:iCs/>
                <w:sz w:val="20"/>
                <w:szCs w:val="20"/>
              </w:rPr>
            </w:pPr>
            <w:r>
              <w:rPr>
                <w:iCs/>
                <w:sz w:val="20"/>
                <w:szCs w:val="20"/>
              </w:rPr>
              <w:t>2002-032-00</w:t>
            </w:r>
          </w:p>
        </w:tc>
        <w:tc>
          <w:tcPr>
            <w:tcW w:w="2999" w:type="dxa"/>
          </w:tcPr>
          <w:p w:rsidR="00871AA0" w:rsidRPr="00B91403" w:rsidRDefault="006362A6" w:rsidP="00012D4C">
            <w:pPr>
              <w:rPr>
                <w:iCs/>
                <w:sz w:val="20"/>
                <w:szCs w:val="20"/>
              </w:rPr>
            </w:pPr>
            <w:r>
              <w:rPr>
                <w:iCs/>
                <w:sz w:val="20"/>
                <w:szCs w:val="20"/>
              </w:rPr>
              <w:t xml:space="preserve">Snake River Fall Chinook Salmon Life History Investigations (using </w:t>
            </w:r>
            <w:proofErr w:type="spellStart"/>
            <w:r>
              <w:rPr>
                <w:iCs/>
                <w:sz w:val="20"/>
                <w:szCs w:val="20"/>
              </w:rPr>
              <w:t>otolith</w:t>
            </w:r>
            <w:proofErr w:type="spellEnd"/>
            <w:r>
              <w:rPr>
                <w:iCs/>
                <w:sz w:val="20"/>
                <w:szCs w:val="20"/>
              </w:rPr>
              <w:t xml:space="preserve"> microchemistry)</w:t>
            </w:r>
          </w:p>
        </w:tc>
        <w:tc>
          <w:tcPr>
            <w:tcW w:w="2340" w:type="dxa"/>
          </w:tcPr>
          <w:p w:rsidR="006362A6" w:rsidRDefault="006362A6" w:rsidP="00D73213">
            <w:pPr>
              <w:rPr>
                <w:iCs/>
                <w:sz w:val="20"/>
                <w:szCs w:val="20"/>
              </w:rPr>
            </w:pPr>
            <w:r>
              <w:rPr>
                <w:iCs/>
                <w:sz w:val="20"/>
                <w:szCs w:val="20"/>
              </w:rPr>
              <w:t>USGS/USFWS/PNNL/</w:t>
            </w:r>
          </w:p>
          <w:p w:rsidR="00871AA0" w:rsidRPr="00B91403" w:rsidRDefault="006362A6" w:rsidP="00D73213">
            <w:pPr>
              <w:rPr>
                <w:iCs/>
                <w:sz w:val="20"/>
                <w:szCs w:val="20"/>
              </w:rPr>
            </w:pPr>
            <w:r>
              <w:rPr>
                <w:iCs/>
                <w:sz w:val="20"/>
                <w:szCs w:val="20"/>
              </w:rPr>
              <w:t>IDFG/NOAA</w:t>
            </w:r>
          </w:p>
        </w:tc>
        <w:tc>
          <w:tcPr>
            <w:tcW w:w="838" w:type="dxa"/>
          </w:tcPr>
          <w:p w:rsidR="00871AA0" w:rsidRPr="00B91403" w:rsidRDefault="006362A6" w:rsidP="006362A6">
            <w:pPr>
              <w:jc w:val="center"/>
              <w:rPr>
                <w:iCs/>
                <w:sz w:val="20"/>
                <w:szCs w:val="20"/>
              </w:rPr>
            </w:pPr>
            <w:r>
              <w:rPr>
                <w:iCs/>
                <w:sz w:val="20"/>
                <w:szCs w:val="20"/>
              </w:rPr>
              <w:t>X</w:t>
            </w:r>
          </w:p>
        </w:tc>
        <w:tc>
          <w:tcPr>
            <w:tcW w:w="782" w:type="dxa"/>
          </w:tcPr>
          <w:p w:rsidR="00871AA0" w:rsidRPr="00B91403" w:rsidRDefault="006362A6" w:rsidP="00D73213">
            <w:pPr>
              <w:rPr>
                <w:iCs/>
                <w:sz w:val="20"/>
                <w:szCs w:val="20"/>
              </w:rPr>
            </w:pPr>
            <w:proofErr w:type="spellStart"/>
            <w:r>
              <w:rPr>
                <w:iCs/>
                <w:sz w:val="20"/>
                <w:szCs w:val="20"/>
              </w:rPr>
              <w:t>BiOp</w:t>
            </w:r>
            <w:proofErr w:type="spellEnd"/>
          </w:p>
        </w:tc>
        <w:tc>
          <w:tcPr>
            <w:tcW w:w="2272" w:type="dxa"/>
          </w:tcPr>
          <w:p w:rsidR="00871AA0" w:rsidRDefault="006362A6" w:rsidP="00D73213">
            <w:pPr>
              <w:rPr>
                <w:iCs/>
                <w:sz w:val="20"/>
                <w:szCs w:val="20"/>
              </w:rPr>
            </w:pPr>
            <w:r>
              <w:rPr>
                <w:iCs/>
                <w:sz w:val="20"/>
                <w:szCs w:val="20"/>
              </w:rPr>
              <w:t>$   975,000  (FY 2012)</w:t>
            </w:r>
          </w:p>
          <w:p w:rsidR="006362A6" w:rsidRDefault="006362A6" w:rsidP="00D73213">
            <w:pPr>
              <w:rPr>
                <w:iCs/>
                <w:sz w:val="20"/>
                <w:szCs w:val="20"/>
              </w:rPr>
            </w:pPr>
            <w:r>
              <w:rPr>
                <w:iCs/>
                <w:sz w:val="20"/>
                <w:szCs w:val="20"/>
              </w:rPr>
              <w:t>$   815,370  (FY 2013)</w:t>
            </w:r>
          </w:p>
          <w:p w:rsidR="006362A6" w:rsidRDefault="006362A6" w:rsidP="00D73213">
            <w:pPr>
              <w:rPr>
                <w:iCs/>
                <w:sz w:val="20"/>
                <w:szCs w:val="20"/>
              </w:rPr>
            </w:pPr>
            <w:r>
              <w:rPr>
                <w:iCs/>
                <w:sz w:val="20"/>
                <w:szCs w:val="20"/>
              </w:rPr>
              <w:t>$   815,370  (FY 2014)</w:t>
            </w:r>
          </w:p>
          <w:p w:rsidR="006362A6" w:rsidRPr="006362A6" w:rsidRDefault="006362A6" w:rsidP="00D73213">
            <w:pPr>
              <w:rPr>
                <w:i/>
                <w:iCs/>
                <w:sz w:val="20"/>
                <w:szCs w:val="20"/>
              </w:rPr>
            </w:pPr>
            <w:r>
              <w:rPr>
                <w:i/>
                <w:iCs/>
                <w:sz w:val="20"/>
                <w:szCs w:val="20"/>
              </w:rPr>
              <w:t xml:space="preserve">$   </w:t>
            </w:r>
            <w:proofErr w:type="gramStart"/>
            <w:r>
              <w:rPr>
                <w:i/>
                <w:iCs/>
                <w:sz w:val="20"/>
                <w:szCs w:val="20"/>
              </w:rPr>
              <w:t>868,580  (</w:t>
            </w:r>
            <w:proofErr w:type="gramEnd"/>
            <w:r>
              <w:rPr>
                <w:i/>
                <w:iCs/>
                <w:sz w:val="20"/>
                <w:szCs w:val="20"/>
              </w:rPr>
              <w:t>3-yr. avg.)</w:t>
            </w:r>
          </w:p>
        </w:tc>
      </w:tr>
      <w:tr w:rsidR="006362A6" w:rsidRPr="007A5EAE" w:rsidTr="00F672DC">
        <w:trPr>
          <w:trHeight w:val="255"/>
        </w:trPr>
        <w:tc>
          <w:tcPr>
            <w:tcW w:w="977" w:type="dxa"/>
          </w:tcPr>
          <w:p w:rsidR="007A5EAE" w:rsidRPr="007A5EAE" w:rsidRDefault="007A5EAE" w:rsidP="008A5070">
            <w:pPr>
              <w:rPr>
                <w:b/>
                <w:i/>
                <w:iCs/>
                <w:color w:val="FF0000"/>
                <w:sz w:val="20"/>
                <w:szCs w:val="20"/>
              </w:rPr>
            </w:pPr>
          </w:p>
        </w:tc>
        <w:tc>
          <w:tcPr>
            <w:tcW w:w="2999" w:type="dxa"/>
          </w:tcPr>
          <w:p w:rsidR="007A5EAE" w:rsidRPr="00C04467" w:rsidRDefault="006362A6" w:rsidP="00012D4C">
            <w:pPr>
              <w:rPr>
                <w:b/>
                <w:i/>
                <w:iCs/>
                <w:sz w:val="20"/>
                <w:szCs w:val="20"/>
              </w:rPr>
            </w:pPr>
            <w:r w:rsidRPr="00C04467">
              <w:rPr>
                <w:b/>
                <w:i/>
                <w:iCs/>
                <w:sz w:val="20"/>
                <w:szCs w:val="20"/>
              </w:rPr>
              <w:t>FY 2012-2014 Total Average</w:t>
            </w:r>
          </w:p>
        </w:tc>
        <w:tc>
          <w:tcPr>
            <w:tcW w:w="2340" w:type="dxa"/>
          </w:tcPr>
          <w:p w:rsidR="007A5EAE" w:rsidRPr="007A5EAE" w:rsidRDefault="007A5EAE" w:rsidP="00D73213">
            <w:pPr>
              <w:rPr>
                <w:b/>
                <w:i/>
                <w:iCs/>
                <w:color w:val="FF0000"/>
                <w:sz w:val="20"/>
                <w:szCs w:val="20"/>
              </w:rPr>
            </w:pPr>
          </w:p>
        </w:tc>
        <w:tc>
          <w:tcPr>
            <w:tcW w:w="838" w:type="dxa"/>
          </w:tcPr>
          <w:p w:rsidR="007A5EAE" w:rsidRPr="007A5EAE" w:rsidRDefault="007A5EAE" w:rsidP="00D73213">
            <w:pPr>
              <w:rPr>
                <w:b/>
                <w:i/>
                <w:iCs/>
                <w:color w:val="FF0000"/>
                <w:sz w:val="20"/>
                <w:szCs w:val="20"/>
              </w:rPr>
            </w:pPr>
          </w:p>
        </w:tc>
        <w:tc>
          <w:tcPr>
            <w:tcW w:w="782" w:type="dxa"/>
          </w:tcPr>
          <w:p w:rsidR="007A5EAE" w:rsidRPr="007A5EAE" w:rsidRDefault="007A5EAE" w:rsidP="00D73213">
            <w:pPr>
              <w:rPr>
                <w:b/>
                <w:i/>
                <w:iCs/>
                <w:color w:val="FF0000"/>
                <w:sz w:val="20"/>
                <w:szCs w:val="20"/>
              </w:rPr>
            </w:pPr>
          </w:p>
        </w:tc>
        <w:tc>
          <w:tcPr>
            <w:tcW w:w="2272" w:type="dxa"/>
          </w:tcPr>
          <w:p w:rsidR="007A5EAE" w:rsidRPr="00C04467" w:rsidRDefault="007A5EAE" w:rsidP="006362A6">
            <w:pPr>
              <w:rPr>
                <w:b/>
                <w:i/>
                <w:iCs/>
                <w:sz w:val="20"/>
                <w:szCs w:val="20"/>
              </w:rPr>
            </w:pPr>
            <w:r w:rsidRPr="00C04467">
              <w:rPr>
                <w:b/>
                <w:i/>
                <w:iCs/>
                <w:sz w:val="20"/>
                <w:szCs w:val="20"/>
              </w:rPr>
              <w:t>$</w:t>
            </w:r>
            <w:proofErr w:type="gramStart"/>
            <w:r w:rsidRPr="00C04467">
              <w:rPr>
                <w:b/>
                <w:i/>
                <w:iCs/>
                <w:sz w:val="20"/>
                <w:szCs w:val="20"/>
              </w:rPr>
              <w:t>1</w:t>
            </w:r>
            <w:r w:rsidR="006362A6" w:rsidRPr="00C04467">
              <w:rPr>
                <w:b/>
                <w:i/>
                <w:iCs/>
                <w:sz w:val="20"/>
                <w:szCs w:val="20"/>
              </w:rPr>
              <w:t>5</w:t>
            </w:r>
            <w:r w:rsidRPr="00C04467">
              <w:rPr>
                <w:b/>
                <w:i/>
                <w:iCs/>
                <w:sz w:val="20"/>
                <w:szCs w:val="20"/>
              </w:rPr>
              <w:t>,0</w:t>
            </w:r>
            <w:r w:rsidR="006362A6" w:rsidRPr="00C04467">
              <w:rPr>
                <w:b/>
                <w:i/>
                <w:iCs/>
                <w:sz w:val="20"/>
                <w:szCs w:val="20"/>
              </w:rPr>
              <w:t>85</w:t>
            </w:r>
            <w:r w:rsidRPr="00C04467">
              <w:rPr>
                <w:b/>
                <w:i/>
                <w:iCs/>
                <w:sz w:val="20"/>
                <w:szCs w:val="20"/>
              </w:rPr>
              <w:t>,</w:t>
            </w:r>
            <w:r w:rsidR="006362A6" w:rsidRPr="00C04467">
              <w:rPr>
                <w:b/>
                <w:i/>
                <w:iCs/>
                <w:sz w:val="20"/>
                <w:szCs w:val="20"/>
              </w:rPr>
              <w:t xml:space="preserve">347  </w:t>
            </w:r>
            <w:proofErr w:type="spellStart"/>
            <w:r w:rsidR="006362A6" w:rsidRPr="00C04467">
              <w:rPr>
                <w:b/>
                <w:i/>
                <w:iCs/>
                <w:sz w:val="20"/>
                <w:szCs w:val="20"/>
              </w:rPr>
              <w:t>est’d</w:t>
            </w:r>
            <w:proofErr w:type="spellEnd"/>
            <w:proofErr w:type="gramEnd"/>
            <w:r w:rsidR="006362A6" w:rsidRPr="00C04467">
              <w:rPr>
                <w:b/>
                <w:i/>
                <w:iCs/>
                <w:sz w:val="20"/>
                <w:szCs w:val="20"/>
              </w:rPr>
              <w:t>.</w:t>
            </w:r>
          </w:p>
        </w:tc>
      </w:tr>
    </w:tbl>
    <w:p w:rsidR="00C06E10" w:rsidRDefault="00C06E10" w:rsidP="00563D2B">
      <w:pPr>
        <w:rPr>
          <w:b/>
          <w:u w:val="single"/>
        </w:rPr>
      </w:pPr>
    </w:p>
    <w:p w:rsidR="00BC378F" w:rsidRDefault="00BC378F" w:rsidP="00861ACD">
      <w:pPr>
        <w:autoSpaceDE w:val="0"/>
        <w:autoSpaceDN w:val="0"/>
        <w:adjustRightInd w:val="0"/>
        <w:rPr>
          <w:bCs/>
        </w:rPr>
      </w:pPr>
    </w:p>
    <w:p w:rsidR="00BC378F" w:rsidRDefault="00BC378F" w:rsidP="00861ACD">
      <w:pPr>
        <w:autoSpaceDE w:val="0"/>
        <w:autoSpaceDN w:val="0"/>
        <w:adjustRightInd w:val="0"/>
        <w:rPr>
          <w:bCs/>
        </w:rPr>
      </w:pPr>
    </w:p>
    <w:p w:rsidR="00861ACD" w:rsidRPr="00861ACD" w:rsidRDefault="00861ACD" w:rsidP="00861ACD">
      <w:pPr>
        <w:autoSpaceDE w:val="0"/>
        <w:autoSpaceDN w:val="0"/>
        <w:adjustRightInd w:val="0"/>
        <w:rPr>
          <w:bCs/>
        </w:rPr>
      </w:pPr>
      <w:r w:rsidRPr="00861ACD">
        <w:rPr>
          <w:bCs/>
        </w:rPr>
        <w:t>Follow</w:t>
      </w:r>
      <w:r w:rsidR="00AD0B99">
        <w:rPr>
          <w:bCs/>
        </w:rPr>
        <w:t>ing are the Corps-funded fish tagging and</w:t>
      </w:r>
      <w:r w:rsidRPr="00861ACD">
        <w:rPr>
          <w:bCs/>
        </w:rPr>
        <w:t xml:space="preserve"> passage</w:t>
      </w:r>
      <w:r w:rsidR="00AD0B99">
        <w:rPr>
          <w:bCs/>
        </w:rPr>
        <w:t>-related</w:t>
      </w:r>
      <w:r w:rsidRPr="00861ACD">
        <w:rPr>
          <w:bCs/>
        </w:rPr>
        <w:t xml:space="preserve"> projects under AFEP for FY 2011:</w:t>
      </w:r>
    </w:p>
    <w:p w:rsidR="00861ACD" w:rsidRPr="00B76BBE" w:rsidRDefault="00861ACD" w:rsidP="00861ACD">
      <w:pPr>
        <w:autoSpaceDE w:val="0"/>
        <w:autoSpaceDN w:val="0"/>
        <w:adjustRightInd w:val="0"/>
        <w:rPr>
          <w:bCs/>
        </w:rPr>
      </w:pPr>
    </w:p>
    <w:p w:rsidR="00861ACD" w:rsidRPr="00A610B3" w:rsidRDefault="00861ACD" w:rsidP="00DF082A">
      <w:pPr>
        <w:numPr>
          <w:ilvl w:val="0"/>
          <w:numId w:val="5"/>
        </w:numPr>
        <w:autoSpaceDE w:val="0"/>
        <w:autoSpaceDN w:val="0"/>
        <w:adjustRightInd w:val="0"/>
        <w:rPr>
          <w:bCs/>
        </w:rPr>
      </w:pPr>
      <w:r w:rsidRPr="00A610B3">
        <w:rPr>
          <w:bCs/>
        </w:rPr>
        <w:t xml:space="preserve">Lower Columbia River </w:t>
      </w:r>
      <w:r w:rsidR="00DF082A" w:rsidRPr="00A610B3">
        <w:rPr>
          <w:bCs/>
        </w:rPr>
        <w:t>Bi</w:t>
      </w:r>
      <w:r w:rsidR="00A610B3" w:rsidRPr="00A610B3">
        <w:rPr>
          <w:bCs/>
        </w:rPr>
        <w:t xml:space="preserve">ological </w:t>
      </w:r>
      <w:r w:rsidR="00DF082A" w:rsidRPr="00A610B3">
        <w:rPr>
          <w:bCs/>
        </w:rPr>
        <w:t>Op</w:t>
      </w:r>
      <w:r w:rsidR="00A610B3" w:rsidRPr="00A610B3">
        <w:rPr>
          <w:bCs/>
        </w:rPr>
        <w:t>inion</w:t>
      </w:r>
      <w:r w:rsidR="00DF082A" w:rsidRPr="00A610B3">
        <w:rPr>
          <w:bCs/>
        </w:rPr>
        <w:t xml:space="preserve"> </w:t>
      </w:r>
      <w:r w:rsidRPr="00A610B3">
        <w:rPr>
          <w:bCs/>
        </w:rPr>
        <w:t>Dam</w:t>
      </w:r>
      <w:r w:rsidR="00DF082A" w:rsidRPr="00A610B3">
        <w:rPr>
          <w:bCs/>
        </w:rPr>
        <w:t xml:space="preserve"> Pas</w:t>
      </w:r>
      <w:r w:rsidRPr="00A610B3">
        <w:rPr>
          <w:bCs/>
        </w:rPr>
        <w:t>s</w:t>
      </w:r>
      <w:r w:rsidR="00DF082A" w:rsidRPr="00A610B3">
        <w:rPr>
          <w:bCs/>
        </w:rPr>
        <w:t>age Performance Testing (using acoustic tags)</w:t>
      </w:r>
      <w:r w:rsidRPr="00A610B3">
        <w:rPr>
          <w:bCs/>
        </w:rPr>
        <w:t>;</w:t>
      </w:r>
      <w:r w:rsidR="00A610B3">
        <w:rPr>
          <w:bCs/>
        </w:rPr>
        <w:t xml:space="preserve"> </w:t>
      </w:r>
      <w:r w:rsidRPr="00A610B3">
        <w:rPr>
          <w:bCs/>
        </w:rPr>
        <w:t>COE study code</w:t>
      </w:r>
      <w:r w:rsidR="00076042" w:rsidRPr="00A610B3">
        <w:rPr>
          <w:bCs/>
        </w:rPr>
        <w:t>s</w:t>
      </w:r>
      <w:r w:rsidRPr="00A610B3">
        <w:rPr>
          <w:bCs/>
        </w:rPr>
        <w:t xml:space="preserve"> </w:t>
      </w:r>
      <w:r w:rsidR="00DF082A" w:rsidRPr="00A610B3">
        <w:rPr>
          <w:bCs/>
        </w:rPr>
        <w:t>S</w:t>
      </w:r>
      <w:r w:rsidRPr="00A610B3">
        <w:rPr>
          <w:bCs/>
        </w:rPr>
        <w:t>P</w:t>
      </w:r>
      <w:r w:rsidR="00DF082A" w:rsidRPr="00A610B3">
        <w:rPr>
          <w:bCs/>
        </w:rPr>
        <w:t>E</w:t>
      </w:r>
      <w:r w:rsidRPr="00A610B3">
        <w:rPr>
          <w:bCs/>
        </w:rPr>
        <w:t>-</w:t>
      </w:r>
      <w:r w:rsidR="00DF082A" w:rsidRPr="00A610B3">
        <w:rPr>
          <w:bCs/>
        </w:rPr>
        <w:t>P-1</w:t>
      </w:r>
      <w:r w:rsidRPr="00A610B3">
        <w:rPr>
          <w:bCs/>
        </w:rPr>
        <w:t>0-</w:t>
      </w:r>
      <w:r w:rsidR="00DF082A" w:rsidRPr="00A610B3">
        <w:rPr>
          <w:bCs/>
        </w:rPr>
        <w:t>1, SPE-P-10-2, SPE-P-08-3</w:t>
      </w:r>
      <w:r w:rsidRPr="00A610B3">
        <w:rPr>
          <w:bCs/>
        </w:rPr>
        <w:t>; total study cost is $</w:t>
      </w:r>
      <w:r w:rsidR="00DF082A" w:rsidRPr="00A610B3">
        <w:rPr>
          <w:bCs/>
        </w:rPr>
        <w:t>13.3 million</w:t>
      </w:r>
      <w:r w:rsidRPr="00A610B3">
        <w:rPr>
          <w:bCs/>
        </w:rPr>
        <w:t>; implementing agenc</w:t>
      </w:r>
      <w:r w:rsidR="00DF082A" w:rsidRPr="00A610B3">
        <w:rPr>
          <w:bCs/>
        </w:rPr>
        <w:t>y is PNNL</w:t>
      </w:r>
      <w:r w:rsidRPr="00A610B3">
        <w:rPr>
          <w:bCs/>
        </w:rPr>
        <w:t>.</w:t>
      </w:r>
    </w:p>
    <w:p w:rsidR="00861ACD" w:rsidRPr="00B76BBE" w:rsidRDefault="00DF082A" w:rsidP="00861ACD">
      <w:pPr>
        <w:numPr>
          <w:ilvl w:val="0"/>
          <w:numId w:val="5"/>
        </w:numPr>
        <w:autoSpaceDE w:val="0"/>
        <w:autoSpaceDN w:val="0"/>
        <w:adjustRightInd w:val="0"/>
        <w:rPr>
          <w:bCs/>
        </w:rPr>
      </w:pPr>
      <w:r>
        <w:rPr>
          <w:bCs/>
        </w:rPr>
        <w:t>Survival Study Methodologies—JSATS Transmitter Downsizing</w:t>
      </w:r>
      <w:r w:rsidR="00861ACD" w:rsidRPr="00B76BBE">
        <w:rPr>
          <w:bCs/>
        </w:rPr>
        <w:t xml:space="preserve">; COE study code </w:t>
      </w:r>
      <w:r>
        <w:rPr>
          <w:bCs/>
        </w:rPr>
        <w:t>S</w:t>
      </w:r>
      <w:r w:rsidR="00861ACD" w:rsidRPr="00B76BBE">
        <w:rPr>
          <w:bCs/>
        </w:rPr>
        <w:t>P</w:t>
      </w:r>
      <w:r>
        <w:rPr>
          <w:bCs/>
        </w:rPr>
        <w:t>E</w:t>
      </w:r>
      <w:r w:rsidR="00861ACD" w:rsidRPr="00B76BBE">
        <w:rPr>
          <w:bCs/>
        </w:rPr>
        <w:t>-</w:t>
      </w:r>
      <w:r>
        <w:rPr>
          <w:bCs/>
        </w:rPr>
        <w:t>P-</w:t>
      </w:r>
      <w:r w:rsidR="00861ACD" w:rsidRPr="00B76BBE">
        <w:rPr>
          <w:bCs/>
        </w:rPr>
        <w:t>0</w:t>
      </w:r>
      <w:r>
        <w:rPr>
          <w:bCs/>
        </w:rPr>
        <w:t>6-2</w:t>
      </w:r>
      <w:r w:rsidR="00861ACD" w:rsidRPr="00B76BBE">
        <w:rPr>
          <w:bCs/>
        </w:rPr>
        <w:t>; study cost is $</w:t>
      </w:r>
      <w:r>
        <w:rPr>
          <w:bCs/>
        </w:rPr>
        <w:t>708</w:t>
      </w:r>
      <w:r w:rsidR="00861ACD" w:rsidRPr="00B76BBE">
        <w:rPr>
          <w:bCs/>
        </w:rPr>
        <w:t>,000; im</w:t>
      </w:r>
      <w:r>
        <w:rPr>
          <w:bCs/>
        </w:rPr>
        <w:t>plementing agency is PNNL</w:t>
      </w:r>
      <w:r w:rsidR="00861ACD" w:rsidRPr="00B76BBE">
        <w:rPr>
          <w:bCs/>
        </w:rPr>
        <w:t>.</w:t>
      </w:r>
    </w:p>
    <w:p w:rsidR="00861ACD" w:rsidRPr="00B76BBE" w:rsidRDefault="00076042" w:rsidP="00861ACD">
      <w:pPr>
        <w:numPr>
          <w:ilvl w:val="0"/>
          <w:numId w:val="5"/>
        </w:numPr>
        <w:autoSpaceDE w:val="0"/>
        <w:autoSpaceDN w:val="0"/>
        <w:adjustRightInd w:val="0"/>
        <w:rPr>
          <w:bCs/>
        </w:rPr>
      </w:pPr>
      <w:r>
        <w:rPr>
          <w:bCs/>
        </w:rPr>
        <w:t>Survival Study Methodologies—JSATS Data Processing Software</w:t>
      </w:r>
      <w:r w:rsidR="00861ACD" w:rsidRPr="00B76BBE">
        <w:rPr>
          <w:bCs/>
        </w:rPr>
        <w:t>; COE study code</w:t>
      </w:r>
      <w:r>
        <w:rPr>
          <w:bCs/>
        </w:rPr>
        <w:t>s</w:t>
      </w:r>
      <w:r w:rsidR="00861ACD" w:rsidRPr="00B76BBE">
        <w:rPr>
          <w:bCs/>
        </w:rPr>
        <w:t xml:space="preserve"> </w:t>
      </w:r>
      <w:r>
        <w:rPr>
          <w:bCs/>
        </w:rPr>
        <w:t>S</w:t>
      </w:r>
      <w:r w:rsidRPr="00B76BBE">
        <w:rPr>
          <w:bCs/>
        </w:rPr>
        <w:t>P</w:t>
      </w:r>
      <w:r>
        <w:rPr>
          <w:bCs/>
        </w:rPr>
        <w:t>E</w:t>
      </w:r>
      <w:r w:rsidRPr="00B76BBE">
        <w:rPr>
          <w:bCs/>
        </w:rPr>
        <w:t>-</w:t>
      </w:r>
      <w:r>
        <w:rPr>
          <w:bCs/>
        </w:rPr>
        <w:t>P-1</w:t>
      </w:r>
      <w:r w:rsidRPr="00B76BBE">
        <w:rPr>
          <w:bCs/>
        </w:rPr>
        <w:t>0-</w:t>
      </w:r>
      <w:r>
        <w:rPr>
          <w:bCs/>
        </w:rPr>
        <w:t>1, SPE-P-10-2 and SPE-P-08-3</w:t>
      </w:r>
      <w:r w:rsidR="00861ACD" w:rsidRPr="00B76BBE">
        <w:rPr>
          <w:bCs/>
        </w:rPr>
        <w:t>; cost is $</w:t>
      </w:r>
      <w:r>
        <w:rPr>
          <w:bCs/>
        </w:rPr>
        <w:t>400</w:t>
      </w:r>
      <w:r w:rsidR="00861ACD" w:rsidRPr="00B76BBE">
        <w:rPr>
          <w:bCs/>
        </w:rPr>
        <w:t xml:space="preserve">,000; implementing agency will be </w:t>
      </w:r>
      <w:r>
        <w:rPr>
          <w:bCs/>
        </w:rPr>
        <w:t>PNNL.</w:t>
      </w:r>
    </w:p>
    <w:p w:rsidR="00861ACD" w:rsidRPr="00B76BBE" w:rsidRDefault="00076042" w:rsidP="00861ACD">
      <w:pPr>
        <w:numPr>
          <w:ilvl w:val="0"/>
          <w:numId w:val="5"/>
        </w:numPr>
        <w:autoSpaceDE w:val="0"/>
        <w:autoSpaceDN w:val="0"/>
        <w:adjustRightInd w:val="0"/>
        <w:rPr>
          <w:bCs/>
        </w:rPr>
      </w:pPr>
      <w:r>
        <w:rPr>
          <w:bCs/>
        </w:rPr>
        <w:t xml:space="preserve">Survival Study Methodologies—JSATS Tag and </w:t>
      </w:r>
      <w:r w:rsidR="00861ACD" w:rsidRPr="00B76BBE">
        <w:rPr>
          <w:bCs/>
        </w:rPr>
        <w:t xml:space="preserve">Tagging </w:t>
      </w:r>
      <w:r>
        <w:rPr>
          <w:bCs/>
        </w:rPr>
        <w:t>Effects</w:t>
      </w:r>
      <w:r w:rsidR="0040788B">
        <w:rPr>
          <w:bCs/>
        </w:rPr>
        <w:t xml:space="preserve"> (lab study only)</w:t>
      </w:r>
      <w:r w:rsidR="00861ACD" w:rsidRPr="00B76BBE">
        <w:rPr>
          <w:bCs/>
        </w:rPr>
        <w:t xml:space="preserve">; COE study code </w:t>
      </w:r>
      <w:r>
        <w:rPr>
          <w:bCs/>
        </w:rPr>
        <w:t>S</w:t>
      </w:r>
      <w:r w:rsidR="00861ACD" w:rsidRPr="00B76BBE">
        <w:rPr>
          <w:bCs/>
        </w:rPr>
        <w:t>P</w:t>
      </w:r>
      <w:r>
        <w:rPr>
          <w:bCs/>
        </w:rPr>
        <w:t>E</w:t>
      </w:r>
      <w:r w:rsidR="00861ACD" w:rsidRPr="00B76BBE">
        <w:rPr>
          <w:bCs/>
        </w:rPr>
        <w:t>-</w:t>
      </w:r>
      <w:r>
        <w:rPr>
          <w:bCs/>
        </w:rPr>
        <w:t>P-</w:t>
      </w:r>
      <w:r w:rsidR="00861ACD" w:rsidRPr="00B76BBE">
        <w:rPr>
          <w:bCs/>
        </w:rPr>
        <w:t>0</w:t>
      </w:r>
      <w:r>
        <w:rPr>
          <w:bCs/>
        </w:rPr>
        <w:t>6</w:t>
      </w:r>
      <w:r w:rsidR="00861ACD" w:rsidRPr="00B76BBE">
        <w:rPr>
          <w:bCs/>
        </w:rPr>
        <w:t>-</w:t>
      </w:r>
      <w:r>
        <w:rPr>
          <w:bCs/>
        </w:rPr>
        <w:t>4</w:t>
      </w:r>
      <w:r w:rsidR="00861ACD" w:rsidRPr="00B76BBE">
        <w:rPr>
          <w:bCs/>
        </w:rPr>
        <w:t>; study cost is $</w:t>
      </w:r>
      <w:r>
        <w:rPr>
          <w:bCs/>
        </w:rPr>
        <w:t>500</w:t>
      </w:r>
      <w:r w:rsidR="00861ACD" w:rsidRPr="00B76BBE">
        <w:rPr>
          <w:bCs/>
        </w:rPr>
        <w:t>,</w:t>
      </w:r>
      <w:r w:rsidR="0040788B">
        <w:rPr>
          <w:bCs/>
        </w:rPr>
        <w:t>000; implementing agency is PNNL</w:t>
      </w:r>
      <w:r w:rsidR="00861ACD" w:rsidRPr="00B76BBE">
        <w:rPr>
          <w:bCs/>
        </w:rPr>
        <w:t>.</w:t>
      </w:r>
    </w:p>
    <w:p w:rsidR="00861ACD" w:rsidRDefault="0040788B" w:rsidP="00861ACD">
      <w:pPr>
        <w:numPr>
          <w:ilvl w:val="0"/>
          <w:numId w:val="5"/>
        </w:numPr>
        <w:autoSpaceDE w:val="0"/>
        <w:autoSpaceDN w:val="0"/>
        <w:adjustRightInd w:val="0"/>
        <w:rPr>
          <w:bCs/>
        </w:rPr>
      </w:pPr>
      <w:r>
        <w:rPr>
          <w:bCs/>
        </w:rPr>
        <w:t xml:space="preserve">Development of Standard Protocols for Tagging Juvenile </w:t>
      </w:r>
      <w:r w:rsidR="00861ACD" w:rsidRPr="00B76BBE">
        <w:rPr>
          <w:bCs/>
        </w:rPr>
        <w:t xml:space="preserve">Pacific Lampreys </w:t>
      </w:r>
      <w:r>
        <w:rPr>
          <w:bCs/>
        </w:rPr>
        <w:t>with PIT-tags or other tags</w:t>
      </w:r>
      <w:r w:rsidR="00861ACD" w:rsidRPr="00B76BBE">
        <w:rPr>
          <w:bCs/>
        </w:rPr>
        <w:t>; COE study code LMP-08-</w:t>
      </w:r>
      <w:r>
        <w:rPr>
          <w:bCs/>
        </w:rPr>
        <w:t>2</w:t>
      </w:r>
      <w:r w:rsidR="00861ACD" w:rsidRPr="00B76BBE">
        <w:rPr>
          <w:bCs/>
        </w:rPr>
        <w:t>; study cost is $</w:t>
      </w:r>
      <w:r>
        <w:rPr>
          <w:bCs/>
        </w:rPr>
        <w:t>110</w:t>
      </w:r>
      <w:r w:rsidR="00861ACD" w:rsidRPr="00B76BBE">
        <w:rPr>
          <w:bCs/>
        </w:rPr>
        <w:t>,000; implementing agency is U</w:t>
      </w:r>
      <w:r>
        <w:rPr>
          <w:bCs/>
        </w:rPr>
        <w:t>SGS</w:t>
      </w:r>
      <w:r w:rsidR="00861ACD" w:rsidRPr="00B76BBE">
        <w:rPr>
          <w:bCs/>
        </w:rPr>
        <w:t>.</w:t>
      </w:r>
    </w:p>
    <w:p w:rsidR="0040788B" w:rsidRDefault="0040788B" w:rsidP="00861ACD">
      <w:pPr>
        <w:numPr>
          <w:ilvl w:val="0"/>
          <w:numId w:val="5"/>
        </w:numPr>
        <w:autoSpaceDE w:val="0"/>
        <w:autoSpaceDN w:val="0"/>
        <w:adjustRightInd w:val="0"/>
        <w:rPr>
          <w:bCs/>
        </w:rPr>
      </w:pPr>
      <w:r>
        <w:rPr>
          <w:bCs/>
        </w:rPr>
        <w:t xml:space="preserve">Snake River Adult Sockeye Salmon Survival/Transportation Study; COE study code </w:t>
      </w:r>
      <w:proofErr w:type="gramStart"/>
      <w:r>
        <w:rPr>
          <w:bCs/>
        </w:rPr>
        <w:t>n/a</w:t>
      </w:r>
      <w:proofErr w:type="gramEnd"/>
      <w:r>
        <w:rPr>
          <w:bCs/>
        </w:rPr>
        <w:t xml:space="preserve">; estimated study cost is </w:t>
      </w:r>
      <w:r w:rsidR="00A610B3">
        <w:rPr>
          <w:bCs/>
        </w:rPr>
        <w:t>$300,000; implementing agency may</w:t>
      </w:r>
      <w:r>
        <w:rPr>
          <w:bCs/>
        </w:rPr>
        <w:t xml:space="preserve"> be U. of Idaho.</w:t>
      </w:r>
    </w:p>
    <w:p w:rsidR="0040788B" w:rsidRDefault="00EA24B3" w:rsidP="00EA24B3">
      <w:pPr>
        <w:numPr>
          <w:ilvl w:val="0"/>
          <w:numId w:val="5"/>
        </w:numPr>
        <w:autoSpaceDE w:val="0"/>
        <w:autoSpaceDN w:val="0"/>
        <w:adjustRightInd w:val="0"/>
        <w:rPr>
          <w:bCs/>
        </w:rPr>
      </w:pPr>
      <w:r w:rsidRPr="00B76BBE">
        <w:rPr>
          <w:bCs/>
        </w:rPr>
        <w:t xml:space="preserve">Lower </w:t>
      </w:r>
      <w:r>
        <w:rPr>
          <w:bCs/>
        </w:rPr>
        <w:t xml:space="preserve">Snake </w:t>
      </w:r>
      <w:r w:rsidRPr="00B76BBE">
        <w:rPr>
          <w:bCs/>
        </w:rPr>
        <w:t xml:space="preserve">River </w:t>
      </w:r>
      <w:r>
        <w:rPr>
          <w:bCs/>
        </w:rPr>
        <w:t>Bi</w:t>
      </w:r>
      <w:r w:rsidR="00A610B3">
        <w:rPr>
          <w:bCs/>
        </w:rPr>
        <w:t xml:space="preserve">ological </w:t>
      </w:r>
      <w:r>
        <w:rPr>
          <w:bCs/>
        </w:rPr>
        <w:t>Op</w:t>
      </w:r>
      <w:r w:rsidR="00A610B3">
        <w:rPr>
          <w:bCs/>
        </w:rPr>
        <w:t>inion</w:t>
      </w:r>
      <w:r>
        <w:rPr>
          <w:bCs/>
        </w:rPr>
        <w:t xml:space="preserve"> </w:t>
      </w:r>
      <w:r w:rsidRPr="00B76BBE">
        <w:rPr>
          <w:bCs/>
        </w:rPr>
        <w:t>Dam</w:t>
      </w:r>
      <w:r>
        <w:rPr>
          <w:bCs/>
        </w:rPr>
        <w:t xml:space="preserve"> Pas</w:t>
      </w:r>
      <w:r w:rsidRPr="00B76BBE">
        <w:rPr>
          <w:bCs/>
        </w:rPr>
        <w:t>s</w:t>
      </w:r>
      <w:r>
        <w:rPr>
          <w:bCs/>
        </w:rPr>
        <w:t>age Performance Testing (using acoustic tags)</w:t>
      </w:r>
      <w:r w:rsidRPr="00B76BBE">
        <w:rPr>
          <w:bCs/>
        </w:rPr>
        <w:t>;</w:t>
      </w:r>
      <w:r>
        <w:rPr>
          <w:bCs/>
        </w:rPr>
        <w:t xml:space="preserve"> </w:t>
      </w:r>
      <w:r w:rsidRPr="00EA24B3">
        <w:rPr>
          <w:bCs/>
        </w:rPr>
        <w:t>COE study code</w:t>
      </w:r>
      <w:r>
        <w:rPr>
          <w:bCs/>
        </w:rPr>
        <w:t xml:space="preserve"> </w:t>
      </w:r>
      <w:proofErr w:type="gramStart"/>
      <w:r>
        <w:rPr>
          <w:bCs/>
        </w:rPr>
        <w:t>n/a</w:t>
      </w:r>
      <w:proofErr w:type="gramEnd"/>
      <w:r>
        <w:rPr>
          <w:bCs/>
        </w:rPr>
        <w:t xml:space="preserve">; </w:t>
      </w:r>
      <w:r w:rsidR="00A610B3">
        <w:rPr>
          <w:bCs/>
        </w:rPr>
        <w:t xml:space="preserve">study has a </w:t>
      </w:r>
      <w:r>
        <w:rPr>
          <w:bCs/>
        </w:rPr>
        <w:t xml:space="preserve">funding placeholder of about $500,000; implementing agency </w:t>
      </w:r>
      <w:r w:rsidR="00A610B3">
        <w:rPr>
          <w:bCs/>
        </w:rPr>
        <w:t>may</w:t>
      </w:r>
      <w:r>
        <w:rPr>
          <w:bCs/>
        </w:rPr>
        <w:t xml:space="preserve"> be PNNL.</w:t>
      </w:r>
    </w:p>
    <w:p w:rsidR="00EA24B3" w:rsidRDefault="00EA24B3" w:rsidP="00EA24B3">
      <w:pPr>
        <w:numPr>
          <w:ilvl w:val="0"/>
          <w:numId w:val="5"/>
        </w:numPr>
        <w:autoSpaceDE w:val="0"/>
        <w:autoSpaceDN w:val="0"/>
        <w:adjustRightInd w:val="0"/>
        <w:rPr>
          <w:bCs/>
        </w:rPr>
      </w:pPr>
      <w:r>
        <w:rPr>
          <w:bCs/>
        </w:rPr>
        <w:t>Snake River Fall Chinook Salmon Transport Studies; COE study code TPE-W-04; study cost is $1.4 million; implementing agency is NOAA-NWFSC.</w:t>
      </w:r>
    </w:p>
    <w:p w:rsidR="00EA24B3" w:rsidRDefault="00F20341" w:rsidP="00EA24B3">
      <w:pPr>
        <w:numPr>
          <w:ilvl w:val="0"/>
          <w:numId w:val="5"/>
        </w:numPr>
        <w:autoSpaceDE w:val="0"/>
        <w:autoSpaceDN w:val="0"/>
        <w:adjustRightInd w:val="0"/>
        <w:rPr>
          <w:bCs/>
        </w:rPr>
      </w:pPr>
      <w:r>
        <w:rPr>
          <w:bCs/>
        </w:rPr>
        <w:t xml:space="preserve">Study to Determine the Seasonal Effects of Transporting Snake River Spring Chinook Salmon and Steelhead; COE study code TPE-W-04; study cost is unknown; implementing agency </w:t>
      </w:r>
      <w:r w:rsidR="00A610B3">
        <w:rPr>
          <w:bCs/>
        </w:rPr>
        <w:t>is</w:t>
      </w:r>
      <w:r>
        <w:rPr>
          <w:bCs/>
        </w:rPr>
        <w:t xml:space="preserve"> NOAA-NWFSC.</w:t>
      </w:r>
    </w:p>
    <w:p w:rsidR="00F20341" w:rsidRDefault="00F20341" w:rsidP="00EA24B3">
      <w:pPr>
        <w:numPr>
          <w:ilvl w:val="0"/>
          <w:numId w:val="5"/>
        </w:numPr>
        <w:autoSpaceDE w:val="0"/>
        <w:autoSpaceDN w:val="0"/>
        <w:adjustRightInd w:val="0"/>
        <w:rPr>
          <w:bCs/>
        </w:rPr>
      </w:pPr>
      <w:r>
        <w:rPr>
          <w:bCs/>
        </w:rPr>
        <w:t>Identifying Overwintering Locations of Snake River Fall Chinook Salmon (</w:t>
      </w:r>
      <w:proofErr w:type="spellStart"/>
      <w:r>
        <w:rPr>
          <w:bCs/>
        </w:rPr>
        <w:t>otolith</w:t>
      </w:r>
      <w:proofErr w:type="spellEnd"/>
      <w:r>
        <w:rPr>
          <w:bCs/>
        </w:rPr>
        <w:t xml:space="preserve"> study); COE study code TPE-W-11-2; study cost is $136,000; implementing agencies are NOAA-NWFSC, U. of Idaho and USFWS.</w:t>
      </w:r>
    </w:p>
    <w:p w:rsidR="00F20341" w:rsidRDefault="00F20341" w:rsidP="00EA24B3">
      <w:pPr>
        <w:numPr>
          <w:ilvl w:val="0"/>
          <w:numId w:val="5"/>
        </w:numPr>
        <w:autoSpaceDE w:val="0"/>
        <w:autoSpaceDN w:val="0"/>
        <w:adjustRightInd w:val="0"/>
        <w:rPr>
          <w:bCs/>
        </w:rPr>
      </w:pPr>
      <w:r>
        <w:rPr>
          <w:bCs/>
        </w:rPr>
        <w:t>Juvenile Snake River Sockeye Salmon Transportation Evaluation; COE study code TPE-W-10-1; study cost is unknown; implementing agency is NOAA-NWFSC.</w:t>
      </w:r>
    </w:p>
    <w:p w:rsidR="00F20341" w:rsidRDefault="00F20341" w:rsidP="005B2095">
      <w:pPr>
        <w:autoSpaceDE w:val="0"/>
        <w:autoSpaceDN w:val="0"/>
        <w:adjustRightInd w:val="0"/>
        <w:ind w:left="720"/>
        <w:rPr>
          <w:bCs/>
        </w:rPr>
      </w:pPr>
    </w:p>
    <w:p w:rsidR="00BC378F" w:rsidRPr="00EA24B3" w:rsidRDefault="00BC378F" w:rsidP="005B2095">
      <w:pPr>
        <w:autoSpaceDE w:val="0"/>
        <w:autoSpaceDN w:val="0"/>
        <w:adjustRightInd w:val="0"/>
        <w:ind w:left="720"/>
        <w:rPr>
          <w:bCs/>
        </w:rPr>
      </w:pPr>
    </w:p>
    <w:p w:rsidR="007A5EAE" w:rsidRPr="00AD0B99" w:rsidRDefault="007A5EAE" w:rsidP="008A3DC1">
      <w:pPr>
        <w:rPr>
          <w:b/>
          <w:u w:val="single"/>
        </w:rPr>
      </w:pPr>
      <w:r w:rsidRPr="00AD0B99">
        <w:rPr>
          <w:b/>
          <w:u w:val="single"/>
        </w:rPr>
        <w:t>Preliminary Recommendations:</w:t>
      </w:r>
    </w:p>
    <w:p w:rsidR="007A5EAE" w:rsidRDefault="007A5EAE" w:rsidP="008A3DC1"/>
    <w:p w:rsidR="00A610B3" w:rsidRDefault="00A610B3" w:rsidP="00A610B3">
      <w:r>
        <w:t xml:space="preserve">Except for projects 2003-041-00, 1991-029-00 and 2002-032-00, staff recommends continued funding of the PIT and other tagging projects for a period of five years.  Staff recommends funding for project 2003-041-00 only through FY 2014, as this project is in process of collecting adult return data from the transport study and should be completed by then.  Staff recommends funding through FY 2013 for projects 1991-029-00 and 2002-032-00, conditional on completion of the 2013 NMFS </w:t>
      </w:r>
      <w:proofErr w:type="spellStart"/>
      <w:r>
        <w:t>BiOp</w:t>
      </w:r>
      <w:proofErr w:type="spellEnd"/>
      <w:r>
        <w:t xml:space="preserve"> check-in report and the review of LSRCP hatcheries.  </w:t>
      </w:r>
    </w:p>
    <w:p w:rsidR="00A610B3" w:rsidRPr="00A610B3" w:rsidRDefault="00A610B3" w:rsidP="008A3DC1">
      <w:r>
        <w:t xml:space="preserve"> </w:t>
      </w:r>
    </w:p>
    <w:p w:rsidR="003863F0" w:rsidRDefault="003863F0">
      <w:r>
        <w:br w:type="page"/>
      </w:r>
    </w:p>
    <w:p w:rsidR="003863F0" w:rsidRPr="003863F0" w:rsidRDefault="003863F0" w:rsidP="003863F0">
      <w:pPr>
        <w:pStyle w:val="Tablecaption"/>
        <w:framePr w:wrap="around"/>
        <w:rPr>
          <w:b w:val="0"/>
        </w:rPr>
      </w:pPr>
      <w:proofErr w:type="gramStart"/>
      <w:r>
        <w:lastRenderedPageBreak/>
        <w:t>Table 2</w:t>
      </w:r>
      <w:r w:rsidRPr="003863F0">
        <w:rPr>
          <w:b w:val="0"/>
        </w:rPr>
        <w:t>.</w:t>
      </w:r>
      <w:proofErr w:type="gramEnd"/>
      <w:r w:rsidRPr="003863F0">
        <w:rPr>
          <w:b w:val="0"/>
        </w:rPr>
        <w:t xml:space="preserve">  Snake River hatchery groups marked during 2010 that have all or part of their PIT-tags provided by the CSS</w:t>
      </w:r>
      <w:r w:rsidR="003C2675">
        <w:rPr>
          <w:b w:val="0"/>
        </w:rPr>
        <w:t xml:space="preserve"> project</w:t>
      </w:r>
      <w:r w:rsidRPr="003863F0">
        <w:rPr>
          <w:b w:val="0"/>
        </w:rPr>
        <w:t xml:space="preserve">.  Many groups have tags cooperatively provided the CSS </w:t>
      </w:r>
      <w:r w:rsidR="003C2675">
        <w:rPr>
          <w:b w:val="0"/>
        </w:rPr>
        <w:t xml:space="preserve">project </w:t>
      </w:r>
      <w:r w:rsidRPr="003863F0">
        <w:rPr>
          <w:b w:val="0"/>
        </w:rPr>
        <w:t>and</w:t>
      </w:r>
      <w:r w:rsidR="003C2675">
        <w:rPr>
          <w:b w:val="0"/>
        </w:rPr>
        <w:t>/or</w:t>
      </w:r>
      <w:r w:rsidRPr="003863F0">
        <w:rPr>
          <w:b w:val="0"/>
        </w:rPr>
        <w:t xml:space="preserve"> other entities.  The hatchery, species, tag funding sources and tag totals are shown for each.  Through cooperative efforts</w:t>
      </w:r>
      <w:r w:rsidR="003C2675">
        <w:rPr>
          <w:b w:val="0"/>
        </w:rPr>
        <w:t>,</w:t>
      </w:r>
      <w:r w:rsidRPr="003863F0">
        <w:rPr>
          <w:b w:val="0"/>
        </w:rPr>
        <w:t xml:space="preserve"> tagging pre-assignments are carried out by either the CSS </w:t>
      </w:r>
      <w:r w:rsidR="003C2675">
        <w:rPr>
          <w:b w:val="0"/>
        </w:rPr>
        <w:t xml:space="preserve">project </w:t>
      </w:r>
      <w:r w:rsidRPr="003863F0">
        <w:rPr>
          <w:b w:val="0"/>
        </w:rPr>
        <w:t>or the other associated agencies.</w:t>
      </w:r>
    </w:p>
    <w:p w:rsidR="003863F0" w:rsidRPr="00AE2D62" w:rsidRDefault="003863F0" w:rsidP="003863F0">
      <w:pPr>
        <w:pStyle w:val="Tablecaption"/>
        <w:framePr w:wrap="around"/>
      </w:pPr>
    </w:p>
    <w:tbl>
      <w:tblPr>
        <w:tblW w:w="9321" w:type="dxa"/>
        <w:tblBorders>
          <w:top w:val="single" w:sz="8" w:space="0" w:color="auto"/>
          <w:left w:val="single" w:sz="8" w:space="0" w:color="auto"/>
          <w:bottom w:val="single" w:sz="8" w:space="0" w:color="auto"/>
          <w:right w:val="single" w:sz="8" w:space="0" w:color="auto"/>
        </w:tblBorders>
        <w:tblCellMar>
          <w:left w:w="0" w:type="dxa"/>
          <w:right w:w="0" w:type="dxa"/>
        </w:tblCellMar>
        <w:tblLook w:val="0000"/>
      </w:tblPr>
      <w:tblGrid>
        <w:gridCol w:w="1843"/>
        <w:gridCol w:w="1015"/>
        <w:gridCol w:w="912"/>
        <w:gridCol w:w="775"/>
        <w:gridCol w:w="661"/>
        <w:gridCol w:w="906"/>
        <w:gridCol w:w="820"/>
        <w:gridCol w:w="920"/>
        <w:gridCol w:w="1470"/>
      </w:tblGrid>
      <w:tr w:rsidR="003863F0" w:rsidTr="00DE5956">
        <w:trPr>
          <w:trHeight w:val="270"/>
        </w:trPr>
        <w:tc>
          <w:tcPr>
            <w:tcW w:w="1843" w:type="dxa"/>
            <w:tcBorders>
              <w:top w:val="nil"/>
              <w:left w:val="nil"/>
              <w:bottom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
        </w:tc>
        <w:tc>
          <w:tcPr>
            <w:tcW w:w="1015" w:type="dxa"/>
            <w:tcBorders>
              <w:top w:val="nil"/>
              <w:bottom w:val="nil"/>
            </w:tcBorders>
            <w:shd w:val="clear" w:color="auto" w:fill="auto"/>
            <w:noWrap/>
            <w:tcMar>
              <w:top w:w="15" w:type="dxa"/>
              <w:left w:w="15" w:type="dxa"/>
              <w:bottom w:w="0" w:type="dxa"/>
              <w:right w:w="15" w:type="dxa"/>
            </w:tcMar>
            <w:vAlign w:val="bottom"/>
          </w:tcPr>
          <w:p w:rsidR="003863F0" w:rsidRPr="003863F0" w:rsidRDefault="003863F0" w:rsidP="003863F0">
            <w:pPr>
              <w:rPr>
                <w:color w:val="000000"/>
                <w:sz w:val="20"/>
                <w:szCs w:val="20"/>
              </w:rPr>
            </w:pPr>
          </w:p>
        </w:tc>
        <w:tc>
          <w:tcPr>
            <w:tcW w:w="4993" w:type="dxa"/>
            <w:gridSpan w:val="6"/>
            <w:tcBorders>
              <w:top w:val="nil"/>
              <w:bottom w:val="single" w:sz="8" w:space="0" w:color="auto"/>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PIT-Tag Funding Source</w:t>
            </w:r>
            <w:r w:rsidRPr="003863F0">
              <w:rPr>
                <w:b/>
                <w:bCs/>
                <w:sz w:val="20"/>
                <w:szCs w:val="20"/>
                <w:vertAlign w:val="superscript"/>
              </w:rPr>
              <w:t>1</w:t>
            </w:r>
          </w:p>
        </w:tc>
        <w:tc>
          <w:tcPr>
            <w:tcW w:w="1470" w:type="dxa"/>
            <w:tcBorders>
              <w:top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
        </w:tc>
      </w:tr>
      <w:tr w:rsidR="003863F0" w:rsidTr="00DE5956">
        <w:trPr>
          <w:trHeight w:val="540"/>
        </w:trPr>
        <w:tc>
          <w:tcPr>
            <w:tcW w:w="0" w:type="auto"/>
            <w:tcBorders>
              <w:top w:val="nil"/>
              <w:left w:val="nil"/>
              <w:bottom w:val="single" w:sz="8" w:space="0" w:color="auto"/>
            </w:tcBorders>
            <w:shd w:val="clear" w:color="auto" w:fill="auto"/>
            <w:noWrap/>
            <w:tcMar>
              <w:top w:w="15" w:type="dxa"/>
              <w:left w:w="15" w:type="dxa"/>
              <w:bottom w:w="0" w:type="dxa"/>
              <w:right w:w="15" w:type="dxa"/>
            </w:tcMar>
            <w:vAlign w:val="bottom"/>
          </w:tcPr>
          <w:p w:rsidR="003863F0" w:rsidRPr="003863F0" w:rsidRDefault="00DE5956" w:rsidP="003863F0">
            <w:pPr>
              <w:jc w:val="center"/>
              <w:rPr>
                <w:b/>
                <w:bCs/>
                <w:sz w:val="20"/>
                <w:szCs w:val="20"/>
              </w:rPr>
            </w:pPr>
            <w:r>
              <w:rPr>
                <w:b/>
                <w:bCs/>
                <w:sz w:val="20"/>
                <w:szCs w:val="20"/>
              </w:rPr>
              <w:t xml:space="preserve">SR </w:t>
            </w:r>
            <w:r w:rsidR="003863F0" w:rsidRPr="003863F0">
              <w:rPr>
                <w:b/>
                <w:bCs/>
                <w:sz w:val="20"/>
                <w:szCs w:val="20"/>
              </w:rPr>
              <w:t>Hatchery</w:t>
            </w:r>
          </w:p>
        </w:tc>
        <w:tc>
          <w:tcPr>
            <w:tcW w:w="0" w:type="auto"/>
            <w:tcBorders>
              <w:top w:val="nil"/>
              <w:bottom w:val="single" w:sz="8" w:space="0" w:color="auto"/>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Species</w:t>
            </w:r>
          </w:p>
        </w:tc>
        <w:tc>
          <w:tcPr>
            <w:tcW w:w="914" w:type="dxa"/>
            <w:tcBorders>
              <w:top w:val="single" w:sz="8" w:space="0" w:color="auto"/>
              <w:bottom w:val="single" w:sz="8" w:space="0" w:color="auto"/>
            </w:tcBorders>
            <w:shd w:val="clear" w:color="auto" w:fill="auto"/>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IDFG / LSRCP</w:t>
            </w:r>
          </w:p>
        </w:tc>
        <w:tc>
          <w:tcPr>
            <w:tcW w:w="0" w:type="auto"/>
            <w:tcBorders>
              <w:top w:val="single" w:sz="8" w:space="0" w:color="auto"/>
              <w:bottom w:val="single" w:sz="8" w:space="0" w:color="auto"/>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CSS</w:t>
            </w:r>
          </w:p>
        </w:tc>
        <w:tc>
          <w:tcPr>
            <w:tcW w:w="0" w:type="auto"/>
            <w:tcBorders>
              <w:top w:val="single" w:sz="8" w:space="0" w:color="auto"/>
              <w:bottom w:val="single" w:sz="8" w:space="0" w:color="auto"/>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IPC</w:t>
            </w:r>
          </w:p>
        </w:tc>
        <w:tc>
          <w:tcPr>
            <w:tcW w:w="904" w:type="dxa"/>
            <w:tcBorders>
              <w:top w:val="single" w:sz="8" w:space="0" w:color="auto"/>
              <w:bottom w:val="single" w:sz="8" w:space="0" w:color="auto"/>
            </w:tcBorders>
            <w:shd w:val="clear" w:color="auto" w:fill="auto"/>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ODFW / LSRCP</w:t>
            </w:r>
          </w:p>
        </w:tc>
        <w:tc>
          <w:tcPr>
            <w:tcW w:w="0" w:type="auto"/>
            <w:tcBorders>
              <w:top w:val="single" w:sz="8" w:space="0" w:color="auto"/>
              <w:bottom w:val="single" w:sz="8" w:space="0" w:color="auto"/>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USFWS</w:t>
            </w:r>
          </w:p>
        </w:tc>
        <w:tc>
          <w:tcPr>
            <w:tcW w:w="917" w:type="dxa"/>
            <w:tcBorders>
              <w:top w:val="single" w:sz="8" w:space="0" w:color="auto"/>
              <w:bottom w:val="single" w:sz="8" w:space="0" w:color="auto"/>
            </w:tcBorders>
            <w:shd w:val="clear" w:color="auto" w:fill="auto"/>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WDFW / LSRCP</w:t>
            </w:r>
          </w:p>
        </w:tc>
        <w:tc>
          <w:tcPr>
            <w:tcW w:w="1470" w:type="dxa"/>
            <w:tcBorders>
              <w:top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Total PIT-tags</w:t>
            </w:r>
          </w:p>
        </w:tc>
      </w:tr>
      <w:tr w:rsidR="003863F0" w:rsidTr="00DE5956">
        <w:trPr>
          <w:trHeight w:val="255"/>
        </w:trPr>
        <w:tc>
          <w:tcPr>
            <w:tcW w:w="0" w:type="auto"/>
            <w:tcBorders>
              <w:top w:val="single" w:sz="8" w:space="0" w:color="auto"/>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Rapid River</w:t>
            </w:r>
          </w:p>
        </w:tc>
        <w:tc>
          <w:tcPr>
            <w:tcW w:w="0" w:type="auto"/>
            <w:tcBorders>
              <w:top w:val="single" w:sz="8" w:space="0" w:color="auto"/>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Chinook</w:t>
            </w:r>
          </w:p>
        </w:tc>
        <w:tc>
          <w:tcPr>
            <w:tcW w:w="0" w:type="auto"/>
            <w:tcBorders>
              <w:top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 </w:t>
            </w:r>
          </w:p>
        </w:tc>
        <w:tc>
          <w:tcPr>
            <w:tcW w:w="0" w:type="auto"/>
            <w:tcBorders>
              <w:top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32,000</w:t>
            </w:r>
          </w:p>
        </w:tc>
        <w:tc>
          <w:tcPr>
            <w:tcW w:w="0" w:type="auto"/>
            <w:tcBorders>
              <w:top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20,000</w:t>
            </w:r>
          </w:p>
        </w:tc>
        <w:tc>
          <w:tcPr>
            <w:tcW w:w="0" w:type="auto"/>
            <w:tcBorders>
              <w:top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 </w:t>
            </w:r>
          </w:p>
        </w:tc>
        <w:tc>
          <w:tcPr>
            <w:tcW w:w="0" w:type="auto"/>
            <w:tcBorders>
              <w:top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 </w:t>
            </w:r>
          </w:p>
        </w:tc>
        <w:tc>
          <w:tcPr>
            <w:tcW w:w="0" w:type="auto"/>
            <w:tcBorders>
              <w:top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 </w:t>
            </w:r>
          </w:p>
        </w:tc>
        <w:tc>
          <w:tcPr>
            <w:tcW w:w="1470" w:type="dxa"/>
            <w:tcBorders>
              <w:top w:val="single" w:sz="8" w:space="0" w:color="auto"/>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52,000</w:t>
            </w:r>
          </w:p>
        </w:tc>
      </w:tr>
      <w:tr w:rsidR="003863F0" w:rsidTr="00DE5956">
        <w:trPr>
          <w:trHeight w:val="255"/>
        </w:trPr>
        <w:tc>
          <w:tcPr>
            <w:tcW w:w="0" w:type="auto"/>
            <w:tcBorders>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McCall's</w:t>
            </w:r>
          </w:p>
        </w:tc>
        <w:tc>
          <w:tcPr>
            <w:tcW w:w="0" w:type="auto"/>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Chinook</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20,000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32,000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52,000</w:t>
            </w:r>
          </w:p>
        </w:tc>
      </w:tr>
      <w:tr w:rsidR="003863F0" w:rsidTr="00DE5956">
        <w:trPr>
          <w:trHeight w:val="255"/>
        </w:trPr>
        <w:tc>
          <w:tcPr>
            <w:tcW w:w="0" w:type="auto"/>
            <w:tcBorders>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Clearwater</w:t>
            </w:r>
          </w:p>
        </w:tc>
        <w:tc>
          <w:tcPr>
            <w:tcW w:w="0" w:type="auto"/>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Chinook</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51,000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21,800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72,800</w:t>
            </w:r>
          </w:p>
        </w:tc>
      </w:tr>
      <w:tr w:rsidR="003863F0" w:rsidTr="00DE5956">
        <w:trPr>
          <w:trHeight w:val="255"/>
        </w:trPr>
        <w:tc>
          <w:tcPr>
            <w:tcW w:w="0" w:type="auto"/>
            <w:tcBorders>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roofErr w:type="spellStart"/>
            <w:r w:rsidRPr="003863F0">
              <w:rPr>
                <w:color w:val="000000"/>
                <w:sz w:val="20"/>
                <w:szCs w:val="20"/>
              </w:rPr>
              <w:t>Pahsimeroi</w:t>
            </w:r>
            <w:proofErr w:type="spellEnd"/>
          </w:p>
        </w:tc>
        <w:tc>
          <w:tcPr>
            <w:tcW w:w="0" w:type="auto"/>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Chinook</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6,400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15,000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21,400</w:t>
            </w:r>
          </w:p>
        </w:tc>
      </w:tr>
      <w:tr w:rsidR="003863F0" w:rsidTr="00DE5956">
        <w:trPr>
          <w:trHeight w:val="255"/>
        </w:trPr>
        <w:tc>
          <w:tcPr>
            <w:tcW w:w="0" w:type="auto"/>
            <w:tcBorders>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roofErr w:type="spellStart"/>
            <w:r w:rsidRPr="003863F0">
              <w:rPr>
                <w:color w:val="000000"/>
                <w:sz w:val="20"/>
                <w:szCs w:val="20"/>
              </w:rPr>
              <w:t>Sawtooth</w:t>
            </w:r>
            <w:proofErr w:type="spellEnd"/>
          </w:p>
        </w:tc>
        <w:tc>
          <w:tcPr>
            <w:tcW w:w="0" w:type="auto"/>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Chinook</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15,000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6,400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21,400</w:t>
            </w:r>
          </w:p>
        </w:tc>
      </w:tr>
      <w:tr w:rsidR="003863F0" w:rsidTr="00DE5956">
        <w:trPr>
          <w:trHeight w:val="255"/>
        </w:trPr>
        <w:tc>
          <w:tcPr>
            <w:tcW w:w="0" w:type="auto"/>
            <w:tcBorders>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Magic Valley</w:t>
            </w:r>
          </w:p>
        </w:tc>
        <w:tc>
          <w:tcPr>
            <w:tcW w:w="0" w:type="auto"/>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Steelhead</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24,600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10,400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35,000</w:t>
            </w:r>
          </w:p>
        </w:tc>
      </w:tr>
      <w:tr w:rsidR="003863F0" w:rsidTr="00DE5956">
        <w:trPr>
          <w:trHeight w:val="255"/>
        </w:trPr>
        <w:tc>
          <w:tcPr>
            <w:tcW w:w="0" w:type="auto"/>
            <w:tcBorders>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Hagerman</w:t>
            </w:r>
          </w:p>
        </w:tc>
        <w:tc>
          <w:tcPr>
            <w:tcW w:w="0" w:type="auto"/>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Steelhead</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19,000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8,100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27,100</w:t>
            </w:r>
          </w:p>
        </w:tc>
      </w:tr>
      <w:tr w:rsidR="003863F0" w:rsidTr="00DE5956">
        <w:trPr>
          <w:trHeight w:val="255"/>
        </w:trPr>
        <w:tc>
          <w:tcPr>
            <w:tcW w:w="0" w:type="auto"/>
            <w:tcBorders>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Niagara Springs</w:t>
            </w:r>
          </w:p>
        </w:tc>
        <w:tc>
          <w:tcPr>
            <w:tcW w:w="0" w:type="auto"/>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Steelhead</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22,300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6,000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28,300</w:t>
            </w:r>
          </w:p>
        </w:tc>
      </w:tr>
      <w:tr w:rsidR="003863F0" w:rsidTr="00DE5956">
        <w:trPr>
          <w:trHeight w:val="255"/>
        </w:trPr>
        <w:tc>
          <w:tcPr>
            <w:tcW w:w="0" w:type="auto"/>
            <w:tcBorders>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Clearwater</w:t>
            </w:r>
          </w:p>
        </w:tc>
        <w:tc>
          <w:tcPr>
            <w:tcW w:w="0" w:type="auto"/>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Steelhead</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16,800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7,000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23,800</w:t>
            </w:r>
          </w:p>
        </w:tc>
      </w:tr>
      <w:tr w:rsidR="003863F0" w:rsidTr="00DE5956">
        <w:trPr>
          <w:trHeight w:val="510"/>
        </w:trPr>
        <w:tc>
          <w:tcPr>
            <w:tcW w:w="1843" w:type="dxa"/>
            <w:tcBorders>
              <w:left w:val="nil"/>
            </w:tcBorders>
            <w:shd w:val="clear" w:color="auto" w:fill="auto"/>
            <w:tcMar>
              <w:top w:w="15" w:type="dxa"/>
              <w:left w:w="15" w:type="dxa"/>
              <w:bottom w:w="0" w:type="dxa"/>
              <w:right w:w="15" w:type="dxa"/>
            </w:tcMar>
            <w:vAlign w:val="center"/>
          </w:tcPr>
          <w:p w:rsidR="003863F0" w:rsidRPr="003863F0" w:rsidRDefault="003863F0" w:rsidP="003863F0">
            <w:pPr>
              <w:jc w:val="center"/>
              <w:rPr>
                <w:color w:val="000000"/>
                <w:sz w:val="20"/>
                <w:szCs w:val="20"/>
              </w:rPr>
            </w:pPr>
            <w:proofErr w:type="spellStart"/>
            <w:r w:rsidRPr="003863F0">
              <w:rPr>
                <w:color w:val="000000"/>
                <w:sz w:val="20"/>
                <w:szCs w:val="20"/>
              </w:rPr>
              <w:t>Lookingglass</w:t>
            </w:r>
            <w:proofErr w:type="spellEnd"/>
            <w:r w:rsidRPr="003863F0">
              <w:rPr>
                <w:color w:val="000000"/>
                <w:sz w:val="20"/>
                <w:szCs w:val="20"/>
              </w:rPr>
              <w:t xml:space="preserve">  (</w:t>
            </w:r>
            <w:proofErr w:type="spellStart"/>
            <w:r w:rsidRPr="003863F0">
              <w:rPr>
                <w:color w:val="000000"/>
                <w:sz w:val="20"/>
                <w:szCs w:val="20"/>
              </w:rPr>
              <w:t>Imnaha</w:t>
            </w:r>
            <w:proofErr w:type="spellEnd"/>
            <w:r w:rsidRPr="003863F0">
              <w:rPr>
                <w:color w:val="000000"/>
                <w:sz w:val="20"/>
                <w:szCs w:val="20"/>
              </w:rPr>
              <w:t xml:space="preserve"> AP)</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Chinook</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21,000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21,000</w:t>
            </w:r>
          </w:p>
        </w:tc>
      </w:tr>
      <w:tr w:rsidR="003863F0" w:rsidTr="00DE5956">
        <w:trPr>
          <w:trHeight w:val="510"/>
        </w:trPr>
        <w:tc>
          <w:tcPr>
            <w:tcW w:w="1843" w:type="dxa"/>
            <w:tcBorders>
              <w:left w:val="nil"/>
            </w:tcBorders>
            <w:shd w:val="clear" w:color="auto" w:fill="auto"/>
            <w:tcMar>
              <w:top w:w="15" w:type="dxa"/>
              <w:left w:w="15" w:type="dxa"/>
              <w:bottom w:w="0" w:type="dxa"/>
              <w:right w:w="15" w:type="dxa"/>
            </w:tcMar>
            <w:vAlign w:val="center"/>
          </w:tcPr>
          <w:p w:rsidR="003863F0" w:rsidRPr="003863F0" w:rsidRDefault="003863F0" w:rsidP="003863F0">
            <w:pPr>
              <w:jc w:val="center"/>
              <w:rPr>
                <w:color w:val="000000"/>
                <w:sz w:val="20"/>
                <w:szCs w:val="20"/>
              </w:rPr>
            </w:pPr>
            <w:proofErr w:type="spellStart"/>
            <w:r w:rsidRPr="003863F0">
              <w:rPr>
                <w:color w:val="000000"/>
                <w:sz w:val="20"/>
                <w:szCs w:val="20"/>
              </w:rPr>
              <w:t>Lookingglass</w:t>
            </w:r>
            <w:proofErr w:type="spellEnd"/>
            <w:r w:rsidRPr="003863F0">
              <w:rPr>
                <w:color w:val="000000"/>
                <w:sz w:val="20"/>
                <w:szCs w:val="20"/>
              </w:rPr>
              <w:t xml:space="preserve">  (Catherine AP)</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Chinook</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21,000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21,000</w:t>
            </w:r>
          </w:p>
        </w:tc>
      </w:tr>
      <w:tr w:rsidR="003863F0" w:rsidTr="00DE5956">
        <w:trPr>
          <w:trHeight w:val="765"/>
        </w:trPr>
        <w:tc>
          <w:tcPr>
            <w:tcW w:w="1843" w:type="dxa"/>
            <w:tcBorders>
              <w:left w:val="nil"/>
            </w:tcBorders>
            <w:shd w:val="clear" w:color="auto" w:fill="auto"/>
            <w:tcMar>
              <w:top w:w="15" w:type="dxa"/>
              <w:left w:w="15" w:type="dxa"/>
              <w:bottom w:w="0" w:type="dxa"/>
              <w:right w:w="15" w:type="dxa"/>
            </w:tcMar>
            <w:vAlign w:val="center"/>
          </w:tcPr>
          <w:p w:rsidR="003863F0" w:rsidRPr="003863F0" w:rsidRDefault="003863F0" w:rsidP="003863F0">
            <w:pPr>
              <w:jc w:val="center"/>
              <w:rPr>
                <w:color w:val="000000"/>
                <w:sz w:val="20"/>
                <w:szCs w:val="20"/>
              </w:rPr>
            </w:pPr>
            <w:proofErr w:type="spellStart"/>
            <w:r w:rsidRPr="003863F0">
              <w:rPr>
                <w:color w:val="000000"/>
                <w:sz w:val="20"/>
                <w:szCs w:val="20"/>
              </w:rPr>
              <w:t>Irrigon</w:t>
            </w:r>
            <w:proofErr w:type="spellEnd"/>
            <w:r w:rsidRPr="003863F0">
              <w:rPr>
                <w:color w:val="000000"/>
                <w:sz w:val="20"/>
                <w:szCs w:val="20"/>
              </w:rPr>
              <w:t xml:space="preserve">               (Grande </w:t>
            </w:r>
            <w:proofErr w:type="spellStart"/>
            <w:r w:rsidRPr="003863F0">
              <w:rPr>
                <w:color w:val="000000"/>
                <w:sz w:val="20"/>
                <w:szCs w:val="20"/>
              </w:rPr>
              <w:t>Ronde</w:t>
            </w:r>
            <w:proofErr w:type="spellEnd"/>
            <w:r w:rsidRPr="003863F0">
              <w:rPr>
                <w:color w:val="000000"/>
                <w:sz w:val="20"/>
                <w:szCs w:val="20"/>
              </w:rPr>
              <w:t xml:space="preserve">, </w:t>
            </w:r>
            <w:proofErr w:type="spellStart"/>
            <w:r w:rsidRPr="003863F0">
              <w:rPr>
                <w:color w:val="000000"/>
                <w:sz w:val="20"/>
                <w:szCs w:val="20"/>
              </w:rPr>
              <w:t>Imnaha</w:t>
            </w:r>
            <w:proofErr w:type="spellEnd"/>
            <w:r w:rsidRPr="003863F0">
              <w:rPr>
                <w:color w:val="000000"/>
                <w:sz w:val="20"/>
                <w:szCs w:val="20"/>
              </w:rPr>
              <w:t>)</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Steelhead</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14,000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31,400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14,000</w:t>
            </w:r>
          </w:p>
        </w:tc>
      </w:tr>
      <w:tr w:rsidR="003863F0" w:rsidTr="00DE5956">
        <w:trPr>
          <w:trHeight w:val="255"/>
        </w:trPr>
        <w:tc>
          <w:tcPr>
            <w:tcW w:w="1843" w:type="dxa"/>
            <w:tcBorders>
              <w:left w:val="nil"/>
            </w:tcBorders>
            <w:shd w:val="clear" w:color="auto" w:fill="auto"/>
            <w:tcMar>
              <w:top w:w="15" w:type="dxa"/>
              <w:left w:w="15" w:type="dxa"/>
              <w:bottom w:w="0" w:type="dxa"/>
              <w:right w:w="15" w:type="dxa"/>
            </w:tcMar>
            <w:vAlign w:val="center"/>
          </w:tcPr>
          <w:p w:rsidR="003863F0" w:rsidRPr="003863F0" w:rsidRDefault="003863F0" w:rsidP="003863F0">
            <w:pPr>
              <w:jc w:val="center"/>
              <w:rPr>
                <w:color w:val="000000"/>
                <w:sz w:val="20"/>
                <w:szCs w:val="20"/>
              </w:rPr>
            </w:pPr>
            <w:proofErr w:type="spellStart"/>
            <w:r w:rsidRPr="003863F0">
              <w:rPr>
                <w:color w:val="000000"/>
                <w:sz w:val="20"/>
                <w:szCs w:val="20"/>
              </w:rPr>
              <w:t>Dworshak</w:t>
            </w:r>
            <w:proofErr w:type="spellEnd"/>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Chinook</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52,000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52,000</w:t>
            </w:r>
          </w:p>
        </w:tc>
      </w:tr>
      <w:tr w:rsidR="003863F0" w:rsidTr="00DE5956">
        <w:trPr>
          <w:trHeight w:val="255"/>
        </w:trPr>
        <w:tc>
          <w:tcPr>
            <w:tcW w:w="1843" w:type="dxa"/>
            <w:tcBorders>
              <w:left w:val="nil"/>
              <w:bottom w:val="nil"/>
            </w:tcBorders>
            <w:shd w:val="clear" w:color="auto" w:fill="auto"/>
            <w:tcMar>
              <w:top w:w="15" w:type="dxa"/>
              <w:left w:w="15" w:type="dxa"/>
              <w:bottom w:w="0" w:type="dxa"/>
              <w:right w:w="15" w:type="dxa"/>
            </w:tcMar>
            <w:vAlign w:val="center"/>
          </w:tcPr>
          <w:p w:rsidR="003863F0" w:rsidRPr="003863F0" w:rsidRDefault="003863F0" w:rsidP="003863F0">
            <w:pPr>
              <w:jc w:val="center"/>
              <w:rPr>
                <w:color w:val="000000"/>
                <w:sz w:val="20"/>
                <w:szCs w:val="20"/>
              </w:rPr>
            </w:pPr>
            <w:proofErr w:type="spellStart"/>
            <w:r w:rsidRPr="003863F0">
              <w:rPr>
                <w:color w:val="000000"/>
                <w:sz w:val="20"/>
                <w:szCs w:val="20"/>
              </w:rPr>
              <w:t>Dworshak</w:t>
            </w:r>
            <w:proofErr w:type="spellEnd"/>
          </w:p>
        </w:tc>
        <w:tc>
          <w:tcPr>
            <w:tcW w:w="0" w:type="auto"/>
            <w:tcBorders>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Steelhead</w:t>
            </w:r>
          </w:p>
        </w:tc>
        <w:tc>
          <w:tcPr>
            <w:tcW w:w="0" w:type="auto"/>
            <w:tcBorders>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tcBorders>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9,000</w:t>
            </w:r>
          </w:p>
        </w:tc>
        <w:tc>
          <w:tcPr>
            <w:tcW w:w="0" w:type="auto"/>
            <w:tcBorders>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tcBorders>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tcBorders>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19,900</w:t>
            </w:r>
          </w:p>
        </w:tc>
        <w:tc>
          <w:tcPr>
            <w:tcW w:w="0" w:type="auto"/>
            <w:tcBorders>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bottom w:val="nil"/>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9,000</w:t>
            </w:r>
          </w:p>
        </w:tc>
      </w:tr>
      <w:tr w:rsidR="003863F0" w:rsidTr="00DE5956">
        <w:trPr>
          <w:trHeight w:val="525"/>
        </w:trPr>
        <w:tc>
          <w:tcPr>
            <w:tcW w:w="1843" w:type="dxa"/>
            <w:tcBorders>
              <w:top w:val="nil"/>
              <w:left w:val="nil"/>
              <w:bottom w:val="single" w:sz="8" w:space="0" w:color="auto"/>
            </w:tcBorders>
            <w:shd w:val="clear" w:color="auto" w:fill="auto"/>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Lyon's Ferry (Cottonwood AP)</w:t>
            </w:r>
          </w:p>
        </w:tc>
        <w:tc>
          <w:tcPr>
            <w:tcW w:w="0" w:type="auto"/>
            <w:tcBorders>
              <w:top w:val="nil"/>
              <w:bottom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Steelhead</w:t>
            </w:r>
          </w:p>
        </w:tc>
        <w:tc>
          <w:tcPr>
            <w:tcW w:w="0" w:type="auto"/>
            <w:tcBorders>
              <w:top w:val="nil"/>
              <w:bottom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tcBorders>
              <w:top w:val="nil"/>
              <w:bottom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2,000</w:t>
            </w:r>
          </w:p>
        </w:tc>
        <w:tc>
          <w:tcPr>
            <w:tcW w:w="0" w:type="auto"/>
            <w:tcBorders>
              <w:top w:val="nil"/>
              <w:bottom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tcBorders>
              <w:top w:val="nil"/>
              <w:bottom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tcBorders>
              <w:top w:val="nil"/>
              <w:bottom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tcBorders>
              <w:top w:val="nil"/>
              <w:bottom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6,000</w:t>
            </w:r>
          </w:p>
        </w:tc>
        <w:tc>
          <w:tcPr>
            <w:tcW w:w="1470" w:type="dxa"/>
            <w:tcBorders>
              <w:top w:val="nil"/>
              <w:bottom w:val="single" w:sz="8" w:space="0" w:color="auto"/>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2,000</w:t>
            </w:r>
          </w:p>
        </w:tc>
      </w:tr>
      <w:tr w:rsidR="003863F0" w:rsidTr="00DE5956">
        <w:trPr>
          <w:trHeight w:val="270"/>
        </w:trPr>
        <w:tc>
          <w:tcPr>
            <w:tcW w:w="0" w:type="auto"/>
            <w:tcBorders>
              <w:top w:val="single" w:sz="8" w:space="0" w:color="auto"/>
              <w:left w:val="nil"/>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rPr>
                <w:b/>
                <w:bCs/>
                <w:sz w:val="20"/>
                <w:szCs w:val="20"/>
              </w:rPr>
            </w:pPr>
            <w:r w:rsidRPr="003863F0">
              <w:rPr>
                <w:b/>
                <w:bCs/>
                <w:sz w:val="20"/>
                <w:szCs w:val="20"/>
              </w:rPr>
              <w:t> Grand Total</w:t>
            </w:r>
          </w:p>
        </w:tc>
        <w:tc>
          <w:tcPr>
            <w:tcW w:w="0" w:type="auto"/>
            <w:tcBorders>
              <w:top w:val="single" w:sz="8" w:space="0" w:color="auto"/>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rPr>
                <w:b/>
                <w:bCs/>
                <w:sz w:val="20"/>
                <w:szCs w:val="20"/>
              </w:rPr>
            </w:pPr>
            <w:r w:rsidRPr="003863F0">
              <w:rPr>
                <w:b/>
                <w:bCs/>
                <w:sz w:val="20"/>
                <w:szCs w:val="20"/>
              </w:rPr>
              <w:t> </w:t>
            </w:r>
          </w:p>
        </w:tc>
        <w:tc>
          <w:tcPr>
            <w:tcW w:w="0" w:type="auto"/>
            <w:tcBorders>
              <w:top w:val="single" w:sz="8" w:space="0" w:color="auto"/>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jc w:val="right"/>
              <w:rPr>
                <w:sz w:val="20"/>
                <w:szCs w:val="20"/>
              </w:rPr>
            </w:pPr>
            <w:r w:rsidRPr="003863F0">
              <w:rPr>
                <w:sz w:val="20"/>
                <w:szCs w:val="20"/>
              </w:rPr>
              <w:t>146,400</w:t>
            </w:r>
          </w:p>
        </w:tc>
        <w:tc>
          <w:tcPr>
            <w:tcW w:w="0" w:type="auto"/>
            <w:tcBorders>
              <w:top w:val="single" w:sz="8" w:space="0" w:color="auto"/>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jc w:val="right"/>
              <w:rPr>
                <w:sz w:val="20"/>
                <w:szCs w:val="20"/>
              </w:rPr>
            </w:pPr>
            <w:r w:rsidRPr="003863F0">
              <w:rPr>
                <w:sz w:val="20"/>
                <w:szCs w:val="20"/>
              </w:rPr>
              <w:t>265,400</w:t>
            </w:r>
          </w:p>
        </w:tc>
        <w:tc>
          <w:tcPr>
            <w:tcW w:w="0" w:type="auto"/>
            <w:tcBorders>
              <w:top w:val="single" w:sz="8" w:space="0" w:color="auto"/>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jc w:val="right"/>
              <w:rPr>
                <w:sz w:val="20"/>
                <w:szCs w:val="20"/>
              </w:rPr>
            </w:pPr>
            <w:r w:rsidRPr="003863F0">
              <w:rPr>
                <w:sz w:val="20"/>
                <w:szCs w:val="20"/>
              </w:rPr>
              <w:t>41,000</w:t>
            </w:r>
          </w:p>
        </w:tc>
        <w:tc>
          <w:tcPr>
            <w:tcW w:w="0" w:type="auto"/>
            <w:tcBorders>
              <w:top w:val="single" w:sz="8" w:space="0" w:color="auto"/>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jc w:val="right"/>
              <w:rPr>
                <w:sz w:val="20"/>
                <w:szCs w:val="20"/>
              </w:rPr>
            </w:pPr>
            <w:r w:rsidRPr="003863F0">
              <w:rPr>
                <w:sz w:val="20"/>
                <w:szCs w:val="20"/>
              </w:rPr>
              <w:t>31,400</w:t>
            </w:r>
          </w:p>
        </w:tc>
        <w:tc>
          <w:tcPr>
            <w:tcW w:w="0" w:type="auto"/>
            <w:tcBorders>
              <w:top w:val="single" w:sz="8" w:space="0" w:color="auto"/>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jc w:val="right"/>
              <w:rPr>
                <w:sz w:val="20"/>
                <w:szCs w:val="20"/>
              </w:rPr>
            </w:pPr>
            <w:r w:rsidRPr="003863F0">
              <w:rPr>
                <w:sz w:val="20"/>
                <w:szCs w:val="20"/>
              </w:rPr>
              <w:t>19,900</w:t>
            </w:r>
          </w:p>
        </w:tc>
        <w:tc>
          <w:tcPr>
            <w:tcW w:w="0" w:type="auto"/>
            <w:tcBorders>
              <w:top w:val="single" w:sz="8" w:space="0" w:color="auto"/>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jc w:val="right"/>
              <w:rPr>
                <w:sz w:val="20"/>
                <w:szCs w:val="20"/>
              </w:rPr>
            </w:pPr>
            <w:r w:rsidRPr="003863F0">
              <w:rPr>
                <w:sz w:val="20"/>
                <w:szCs w:val="20"/>
              </w:rPr>
              <w:t>6,000</w:t>
            </w:r>
          </w:p>
        </w:tc>
        <w:tc>
          <w:tcPr>
            <w:tcW w:w="1470" w:type="dxa"/>
            <w:tcBorders>
              <w:top w:val="single" w:sz="8" w:space="0" w:color="auto"/>
              <w:bottom w:val="single" w:sz="8" w:space="0" w:color="auto"/>
              <w:right w:val="nil"/>
            </w:tcBorders>
            <w:shd w:val="clear" w:color="auto" w:fill="FFFFFF"/>
            <w:noWrap/>
            <w:tcMar>
              <w:top w:w="15" w:type="dxa"/>
              <w:left w:w="15" w:type="dxa"/>
              <w:bottom w:w="0" w:type="dxa"/>
              <w:right w:w="15" w:type="dxa"/>
            </w:tcMar>
            <w:vAlign w:val="bottom"/>
          </w:tcPr>
          <w:p w:rsidR="003863F0" w:rsidRPr="003863F0" w:rsidRDefault="003863F0" w:rsidP="003863F0">
            <w:pPr>
              <w:jc w:val="right"/>
              <w:rPr>
                <w:sz w:val="20"/>
                <w:szCs w:val="20"/>
              </w:rPr>
            </w:pPr>
            <w:r w:rsidRPr="003863F0">
              <w:rPr>
                <w:sz w:val="20"/>
                <w:szCs w:val="20"/>
              </w:rPr>
              <w:t>452,800</w:t>
            </w:r>
          </w:p>
        </w:tc>
      </w:tr>
    </w:tbl>
    <w:p w:rsidR="00DE5956" w:rsidRDefault="00DE5956"/>
    <w:tbl>
      <w:tblPr>
        <w:tblW w:w="9321" w:type="dxa"/>
        <w:tblBorders>
          <w:top w:val="single" w:sz="8" w:space="0" w:color="auto"/>
          <w:left w:val="single" w:sz="8" w:space="0" w:color="auto"/>
          <w:bottom w:val="single" w:sz="8" w:space="0" w:color="auto"/>
          <w:right w:val="single" w:sz="8" w:space="0" w:color="auto"/>
        </w:tblBorders>
        <w:tblCellMar>
          <w:left w:w="0" w:type="dxa"/>
          <w:right w:w="0" w:type="dxa"/>
        </w:tblCellMar>
        <w:tblLook w:val="0000"/>
      </w:tblPr>
      <w:tblGrid>
        <w:gridCol w:w="9321"/>
      </w:tblGrid>
      <w:tr w:rsidR="003863F0" w:rsidRPr="00AE2D62" w:rsidTr="00DE5956">
        <w:trPr>
          <w:trHeight w:val="795"/>
        </w:trPr>
        <w:tc>
          <w:tcPr>
            <w:tcW w:w="9321" w:type="dxa"/>
            <w:tcBorders>
              <w:top w:val="single" w:sz="8" w:space="0" w:color="auto"/>
              <w:left w:val="nil"/>
              <w:bottom w:val="nil"/>
              <w:right w:val="nil"/>
            </w:tcBorders>
            <w:shd w:val="clear" w:color="auto" w:fill="auto"/>
            <w:tcMar>
              <w:top w:w="15" w:type="dxa"/>
              <w:left w:w="15" w:type="dxa"/>
              <w:bottom w:w="0" w:type="dxa"/>
              <w:right w:w="15" w:type="dxa"/>
            </w:tcMar>
            <w:vAlign w:val="bottom"/>
          </w:tcPr>
          <w:p w:rsidR="00DE5956" w:rsidRDefault="00DE5956" w:rsidP="00DE5956">
            <w:pPr>
              <w:rPr>
                <w:color w:val="000000"/>
                <w:sz w:val="20"/>
                <w:szCs w:val="20"/>
              </w:rPr>
            </w:pPr>
            <w:r>
              <w:br w:type="page"/>
            </w:r>
            <w:r w:rsidR="003863F0" w:rsidRPr="008B51E9">
              <w:rPr>
                <w:color w:val="000000"/>
                <w:sz w:val="20"/>
                <w:szCs w:val="20"/>
                <w:vertAlign w:val="superscript"/>
              </w:rPr>
              <w:t>1</w:t>
            </w:r>
            <w:r w:rsidR="003863F0" w:rsidRPr="008B51E9">
              <w:rPr>
                <w:color w:val="000000"/>
                <w:sz w:val="20"/>
                <w:szCs w:val="20"/>
              </w:rPr>
              <w:t xml:space="preserve"> </w:t>
            </w:r>
            <w:r w:rsidRPr="008B51E9">
              <w:rPr>
                <w:color w:val="000000"/>
                <w:sz w:val="20"/>
                <w:szCs w:val="20"/>
              </w:rPr>
              <w:t xml:space="preserve">Agencies are Idaho </w:t>
            </w:r>
            <w:r>
              <w:rPr>
                <w:color w:val="000000"/>
                <w:sz w:val="20"/>
                <w:szCs w:val="20"/>
              </w:rPr>
              <w:t xml:space="preserve">Department of </w:t>
            </w:r>
            <w:r w:rsidRPr="008B51E9">
              <w:rPr>
                <w:color w:val="000000"/>
                <w:sz w:val="20"/>
                <w:szCs w:val="20"/>
              </w:rPr>
              <w:t>Fish and Game (IDFG), Idaho Power Company (IPC), Oregon Department of Fish and Wildlife (ODFW), U.S. Fish and Wildlife Service (USFWS), Washington Department of Fish and Wildlife (WDFW), and Lower Snake River Compensation Plan (LSRCP)</w:t>
            </w:r>
            <w:r>
              <w:rPr>
                <w:color w:val="000000"/>
                <w:sz w:val="20"/>
                <w:szCs w:val="20"/>
              </w:rPr>
              <w:t>.</w:t>
            </w:r>
          </w:p>
          <w:p w:rsidR="00DE5956" w:rsidRDefault="00DE5956" w:rsidP="00DE5956">
            <w:pPr>
              <w:rPr>
                <w:color w:val="000000"/>
                <w:sz w:val="20"/>
                <w:szCs w:val="20"/>
              </w:rPr>
            </w:pPr>
          </w:p>
          <w:p w:rsidR="00DE5956" w:rsidRDefault="00DE5956" w:rsidP="00DE5956">
            <w:pPr>
              <w:rPr>
                <w:color w:val="000000"/>
                <w:sz w:val="20"/>
                <w:szCs w:val="20"/>
              </w:rPr>
            </w:pPr>
          </w:p>
          <w:p w:rsidR="00DE5956" w:rsidRDefault="00DE5956" w:rsidP="003863F0">
            <w:pPr>
              <w:pStyle w:val="Tablecaption"/>
              <w:framePr w:wrap="auto" w:vAnchor="margin" w:yAlign="inline"/>
            </w:pPr>
          </w:p>
          <w:p w:rsidR="00DE5956" w:rsidRDefault="00DE5956" w:rsidP="003863F0">
            <w:pPr>
              <w:pStyle w:val="Tablecaption"/>
              <w:framePr w:wrap="auto" w:vAnchor="margin" w:yAlign="inline"/>
            </w:pPr>
          </w:p>
          <w:p w:rsidR="00DE5956" w:rsidRDefault="00DE5956" w:rsidP="003863F0">
            <w:pPr>
              <w:pStyle w:val="Tablecaption"/>
              <w:framePr w:wrap="auto" w:vAnchor="margin" w:yAlign="inline"/>
            </w:pPr>
          </w:p>
          <w:p w:rsidR="00DE5956" w:rsidRDefault="00DE5956" w:rsidP="003863F0">
            <w:pPr>
              <w:pStyle w:val="Tablecaption"/>
              <w:framePr w:wrap="auto" w:vAnchor="margin" w:yAlign="inline"/>
            </w:pPr>
          </w:p>
          <w:p w:rsidR="00DE5956" w:rsidRDefault="00DE5956" w:rsidP="003863F0">
            <w:pPr>
              <w:pStyle w:val="Tablecaption"/>
              <w:framePr w:wrap="auto" w:vAnchor="margin" w:yAlign="inline"/>
            </w:pPr>
          </w:p>
          <w:p w:rsidR="00DE5956" w:rsidRDefault="00DE5956" w:rsidP="003863F0">
            <w:pPr>
              <w:pStyle w:val="Tablecaption"/>
              <w:framePr w:wrap="auto" w:vAnchor="margin" w:yAlign="inline"/>
            </w:pPr>
          </w:p>
          <w:p w:rsidR="00DE5956" w:rsidRDefault="00DE5956" w:rsidP="003863F0">
            <w:pPr>
              <w:pStyle w:val="Tablecaption"/>
              <w:framePr w:wrap="auto" w:vAnchor="margin" w:yAlign="inline"/>
            </w:pPr>
          </w:p>
          <w:p w:rsidR="00DE5956" w:rsidRDefault="00DE5956" w:rsidP="003863F0">
            <w:pPr>
              <w:pStyle w:val="Tablecaption"/>
              <w:framePr w:wrap="auto" w:vAnchor="margin" w:yAlign="inline"/>
            </w:pPr>
          </w:p>
          <w:p w:rsidR="00DE5956" w:rsidRDefault="00DE5956" w:rsidP="003863F0">
            <w:pPr>
              <w:pStyle w:val="Tablecaption"/>
              <w:framePr w:wrap="auto" w:vAnchor="margin" w:yAlign="inline"/>
            </w:pPr>
          </w:p>
          <w:p w:rsidR="00DE5956" w:rsidRDefault="00DE5956" w:rsidP="003863F0">
            <w:pPr>
              <w:pStyle w:val="Tablecaption"/>
              <w:framePr w:wrap="auto" w:vAnchor="margin" w:yAlign="inline"/>
            </w:pPr>
          </w:p>
          <w:p w:rsidR="003863F0" w:rsidRPr="003863F0" w:rsidRDefault="003863F0" w:rsidP="003863F0">
            <w:pPr>
              <w:pStyle w:val="Tablecaption"/>
              <w:framePr w:wrap="auto" w:vAnchor="margin" w:yAlign="inline"/>
              <w:rPr>
                <w:b w:val="0"/>
              </w:rPr>
            </w:pPr>
            <w:r>
              <w:lastRenderedPageBreak/>
              <w:t xml:space="preserve">Table 3.  </w:t>
            </w:r>
            <w:r w:rsidRPr="003863F0">
              <w:rPr>
                <w:b w:val="0"/>
              </w:rPr>
              <w:t>Wild fish marked in 2010 that have all or part of their PIT-tags provided by the CSS</w:t>
            </w:r>
            <w:r w:rsidR="00DE5956">
              <w:rPr>
                <w:b w:val="0"/>
              </w:rPr>
              <w:t xml:space="preserve"> project</w:t>
            </w:r>
            <w:r w:rsidRPr="003863F0">
              <w:rPr>
                <w:b w:val="0"/>
              </w:rPr>
              <w:t xml:space="preserve">.  Many groups have tags cooperatively provided the CSS and other studies.  The location of marking, species, tag funding sources and tag totals are shown for each.  Through cooperative efforts pre-assignments are carried out by the CSS </w:t>
            </w:r>
            <w:r w:rsidR="00DE5956">
              <w:rPr>
                <w:b w:val="0"/>
              </w:rPr>
              <w:t xml:space="preserve">project </w:t>
            </w:r>
            <w:r w:rsidRPr="003863F0">
              <w:rPr>
                <w:b w:val="0"/>
              </w:rPr>
              <w:t>on these groups</w:t>
            </w:r>
            <w:r w:rsidR="00DE5956">
              <w:rPr>
                <w:b w:val="0"/>
              </w:rPr>
              <w:t>,</w:t>
            </w:r>
            <w:r w:rsidRPr="003863F0">
              <w:rPr>
                <w:b w:val="0"/>
              </w:rPr>
              <w:t xml:space="preserve"> except for the </w:t>
            </w:r>
            <w:proofErr w:type="spellStart"/>
            <w:r w:rsidRPr="003863F0">
              <w:rPr>
                <w:b w:val="0"/>
              </w:rPr>
              <w:t>Chiwawa</w:t>
            </w:r>
            <w:proofErr w:type="spellEnd"/>
            <w:r w:rsidRPr="003863F0">
              <w:rPr>
                <w:b w:val="0"/>
              </w:rPr>
              <w:t xml:space="preserve"> Trap and Lower Wenatchee Trap (i.e., Upper Columbia Basin).</w:t>
            </w:r>
          </w:p>
          <w:tbl>
            <w:tblPr>
              <w:tblW w:w="9288" w:type="dxa"/>
              <w:tblCellMar>
                <w:left w:w="0" w:type="dxa"/>
                <w:right w:w="0" w:type="dxa"/>
              </w:tblCellMar>
              <w:tblLook w:val="0000"/>
            </w:tblPr>
            <w:tblGrid>
              <w:gridCol w:w="3885"/>
              <w:gridCol w:w="1295"/>
              <w:gridCol w:w="671"/>
              <w:gridCol w:w="671"/>
              <w:gridCol w:w="671"/>
              <w:gridCol w:w="742"/>
              <w:gridCol w:w="1353"/>
            </w:tblGrid>
            <w:tr w:rsidR="003863F0" w:rsidTr="003863F0">
              <w:trPr>
                <w:trHeight w:val="270"/>
              </w:trPr>
              <w:tc>
                <w:tcPr>
                  <w:tcW w:w="3885" w:type="dxa"/>
                  <w:tcBorders>
                    <w:bottom w:val="nil"/>
                    <w:right w:val="nil"/>
                  </w:tcBorders>
                  <w:shd w:val="clear" w:color="auto" w:fill="auto"/>
                  <w:noWrap/>
                  <w:tcMar>
                    <w:top w:w="15" w:type="dxa"/>
                    <w:left w:w="15" w:type="dxa"/>
                    <w:bottom w:w="0" w:type="dxa"/>
                    <w:right w:w="15" w:type="dxa"/>
                  </w:tcMar>
                  <w:vAlign w:val="bottom"/>
                </w:tcPr>
                <w:p w:rsidR="003863F0" w:rsidRDefault="003863F0" w:rsidP="003863F0">
                  <w:pPr>
                    <w:rPr>
                      <w:rFonts w:ascii="Arial" w:hAnsi="Arial" w:cs="Arial"/>
                      <w:color w:val="000000"/>
                      <w:sz w:val="20"/>
                      <w:szCs w:val="20"/>
                    </w:rPr>
                  </w:pPr>
                </w:p>
              </w:tc>
              <w:tc>
                <w:tcPr>
                  <w:tcW w:w="1295" w:type="dxa"/>
                  <w:tcBorders>
                    <w:left w:val="nil"/>
                    <w:bottom w:val="nil"/>
                  </w:tcBorders>
                  <w:shd w:val="clear" w:color="auto" w:fill="auto"/>
                  <w:noWrap/>
                  <w:tcMar>
                    <w:top w:w="15" w:type="dxa"/>
                    <w:left w:w="15" w:type="dxa"/>
                    <w:bottom w:w="0" w:type="dxa"/>
                    <w:right w:w="15" w:type="dxa"/>
                  </w:tcMar>
                  <w:vAlign w:val="bottom"/>
                </w:tcPr>
                <w:p w:rsidR="003863F0" w:rsidRDefault="003863F0" w:rsidP="003863F0">
                  <w:pPr>
                    <w:rPr>
                      <w:rFonts w:ascii="Arial" w:hAnsi="Arial" w:cs="Arial"/>
                      <w:color w:val="000000"/>
                      <w:sz w:val="20"/>
                      <w:szCs w:val="20"/>
                    </w:rPr>
                  </w:pPr>
                </w:p>
              </w:tc>
              <w:tc>
                <w:tcPr>
                  <w:tcW w:w="2755" w:type="dxa"/>
                  <w:gridSpan w:val="4"/>
                  <w:tcBorders>
                    <w:left w:val="nil"/>
                    <w:bottom w:val="single" w:sz="8" w:space="0" w:color="auto"/>
                  </w:tcBorders>
                  <w:shd w:val="clear" w:color="auto" w:fill="auto"/>
                  <w:noWrap/>
                  <w:tcMar>
                    <w:top w:w="15" w:type="dxa"/>
                    <w:left w:w="15" w:type="dxa"/>
                    <w:bottom w:w="0" w:type="dxa"/>
                    <w:right w:w="15" w:type="dxa"/>
                  </w:tcMar>
                  <w:vAlign w:val="bottom"/>
                </w:tcPr>
                <w:p w:rsidR="003863F0" w:rsidRDefault="003863F0" w:rsidP="003863F0">
                  <w:pPr>
                    <w:jc w:val="center"/>
                    <w:rPr>
                      <w:rFonts w:ascii="Arial" w:hAnsi="Arial" w:cs="Arial"/>
                      <w:b/>
                      <w:bCs/>
                      <w:sz w:val="20"/>
                      <w:szCs w:val="20"/>
                    </w:rPr>
                  </w:pPr>
                  <w:r>
                    <w:rPr>
                      <w:rFonts w:ascii="Arial" w:hAnsi="Arial" w:cs="Arial"/>
                      <w:b/>
                      <w:bCs/>
                      <w:sz w:val="20"/>
                      <w:szCs w:val="20"/>
                    </w:rPr>
                    <w:t>PIT-Tag Funding Source</w:t>
                  </w:r>
                  <w:r w:rsidRPr="008B51E9">
                    <w:rPr>
                      <w:rFonts w:ascii="Arial" w:hAnsi="Arial" w:cs="Arial"/>
                      <w:b/>
                      <w:bCs/>
                      <w:sz w:val="20"/>
                      <w:szCs w:val="20"/>
                      <w:vertAlign w:val="superscript"/>
                    </w:rPr>
                    <w:t>1</w:t>
                  </w:r>
                </w:p>
              </w:tc>
              <w:tc>
                <w:tcPr>
                  <w:tcW w:w="1353" w:type="dxa"/>
                  <w:tcBorders>
                    <w:left w:val="nil"/>
                    <w:bottom w:val="single" w:sz="8" w:space="0" w:color="auto"/>
                  </w:tcBorders>
                  <w:shd w:val="clear" w:color="auto" w:fill="auto"/>
                  <w:vAlign w:val="bottom"/>
                </w:tcPr>
                <w:p w:rsidR="003863F0" w:rsidRDefault="003863F0" w:rsidP="003863F0">
                  <w:pPr>
                    <w:jc w:val="center"/>
                    <w:rPr>
                      <w:rFonts w:ascii="Arial" w:hAnsi="Arial" w:cs="Arial"/>
                      <w:b/>
                      <w:bCs/>
                      <w:sz w:val="20"/>
                      <w:szCs w:val="20"/>
                    </w:rPr>
                  </w:pPr>
                </w:p>
              </w:tc>
            </w:tr>
            <w:tr w:rsidR="003863F0" w:rsidTr="003863F0">
              <w:trPr>
                <w:trHeight w:val="270"/>
              </w:trPr>
              <w:tc>
                <w:tcPr>
                  <w:tcW w:w="3885" w:type="dxa"/>
                  <w:tcBorders>
                    <w:bottom w:val="single" w:sz="8" w:space="0" w:color="auto"/>
                    <w:right w:val="nil"/>
                  </w:tcBorders>
                  <w:shd w:val="clear" w:color="auto" w:fill="auto"/>
                  <w:noWrap/>
                  <w:tcMar>
                    <w:top w:w="15" w:type="dxa"/>
                    <w:left w:w="15" w:type="dxa"/>
                    <w:bottom w:w="0" w:type="dxa"/>
                    <w:right w:w="15" w:type="dxa"/>
                  </w:tcMar>
                  <w:vAlign w:val="bottom"/>
                </w:tcPr>
                <w:p w:rsidR="003863F0" w:rsidRDefault="003863F0" w:rsidP="003863F0">
                  <w:pPr>
                    <w:jc w:val="center"/>
                    <w:rPr>
                      <w:rFonts w:ascii="Arial" w:hAnsi="Arial" w:cs="Arial"/>
                      <w:b/>
                      <w:bCs/>
                      <w:sz w:val="20"/>
                      <w:szCs w:val="20"/>
                    </w:rPr>
                  </w:pPr>
                  <w:r>
                    <w:rPr>
                      <w:rFonts w:ascii="Arial" w:hAnsi="Arial" w:cs="Arial"/>
                      <w:b/>
                      <w:bCs/>
                      <w:sz w:val="20"/>
                      <w:szCs w:val="20"/>
                    </w:rPr>
                    <w:t xml:space="preserve">Location </w:t>
                  </w:r>
                </w:p>
              </w:tc>
              <w:tc>
                <w:tcPr>
                  <w:tcW w:w="1295" w:type="dxa"/>
                  <w:tcBorders>
                    <w:left w:val="nil"/>
                    <w:bottom w:val="single" w:sz="8" w:space="0" w:color="auto"/>
                    <w:right w:val="nil"/>
                  </w:tcBorders>
                  <w:shd w:val="clear" w:color="auto" w:fill="auto"/>
                  <w:noWrap/>
                  <w:tcMar>
                    <w:top w:w="15" w:type="dxa"/>
                    <w:left w:w="15" w:type="dxa"/>
                    <w:bottom w:w="0" w:type="dxa"/>
                    <w:right w:w="15" w:type="dxa"/>
                  </w:tcMar>
                  <w:vAlign w:val="bottom"/>
                </w:tcPr>
                <w:p w:rsidR="003863F0" w:rsidRDefault="003863F0" w:rsidP="003863F0">
                  <w:pPr>
                    <w:jc w:val="center"/>
                    <w:rPr>
                      <w:rFonts w:ascii="Arial" w:hAnsi="Arial" w:cs="Arial"/>
                      <w:b/>
                      <w:bCs/>
                      <w:sz w:val="20"/>
                      <w:szCs w:val="20"/>
                    </w:rPr>
                  </w:pPr>
                  <w:r>
                    <w:rPr>
                      <w:rFonts w:ascii="Arial" w:hAnsi="Arial" w:cs="Arial"/>
                      <w:b/>
                      <w:bCs/>
                      <w:sz w:val="20"/>
                      <w:szCs w:val="20"/>
                    </w:rPr>
                    <w:t>Wild Species</w:t>
                  </w:r>
                </w:p>
              </w:tc>
              <w:tc>
                <w:tcPr>
                  <w:tcW w:w="0" w:type="auto"/>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Default="003863F0" w:rsidP="003863F0">
                  <w:pPr>
                    <w:jc w:val="center"/>
                    <w:rPr>
                      <w:rFonts w:ascii="Arial" w:hAnsi="Arial" w:cs="Arial"/>
                      <w:b/>
                      <w:bCs/>
                      <w:sz w:val="20"/>
                      <w:szCs w:val="20"/>
                    </w:rPr>
                  </w:pPr>
                  <w:r>
                    <w:rPr>
                      <w:rFonts w:ascii="Arial" w:hAnsi="Arial" w:cs="Arial"/>
                      <w:b/>
                      <w:bCs/>
                      <w:sz w:val="20"/>
                      <w:szCs w:val="20"/>
                    </w:rPr>
                    <w:t>SMP</w:t>
                  </w:r>
                </w:p>
              </w:tc>
              <w:tc>
                <w:tcPr>
                  <w:tcW w:w="0" w:type="auto"/>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Default="003863F0" w:rsidP="003863F0">
                  <w:pPr>
                    <w:jc w:val="center"/>
                    <w:rPr>
                      <w:rFonts w:ascii="Arial" w:hAnsi="Arial" w:cs="Arial"/>
                      <w:b/>
                      <w:bCs/>
                      <w:sz w:val="20"/>
                      <w:szCs w:val="20"/>
                    </w:rPr>
                  </w:pPr>
                  <w:r>
                    <w:rPr>
                      <w:rFonts w:ascii="Arial" w:hAnsi="Arial" w:cs="Arial"/>
                      <w:b/>
                      <w:bCs/>
                      <w:sz w:val="20"/>
                      <w:szCs w:val="20"/>
                    </w:rPr>
                    <w:t>CSS</w:t>
                  </w:r>
                </w:p>
              </w:tc>
              <w:tc>
                <w:tcPr>
                  <w:tcW w:w="0" w:type="auto"/>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Default="003863F0" w:rsidP="003863F0">
                  <w:pPr>
                    <w:jc w:val="center"/>
                    <w:rPr>
                      <w:rFonts w:ascii="Arial" w:hAnsi="Arial" w:cs="Arial"/>
                      <w:b/>
                      <w:bCs/>
                      <w:sz w:val="20"/>
                      <w:szCs w:val="20"/>
                    </w:rPr>
                  </w:pPr>
                  <w:r>
                    <w:rPr>
                      <w:rFonts w:ascii="Arial" w:hAnsi="Arial" w:cs="Arial"/>
                      <w:b/>
                      <w:bCs/>
                      <w:sz w:val="20"/>
                      <w:szCs w:val="20"/>
                    </w:rPr>
                    <w:t>IDFG</w:t>
                  </w:r>
                </w:p>
              </w:tc>
              <w:tc>
                <w:tcPr>
                  <w:tcW w:w="0" w:type="auto"/>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Default="003863F0" w:rsidP="003863F0">
                  <w:pPr>
                    <w:jc w:val="center"/>
                    <w:rPr>
                      <w:rFonts w:ascii="Arial" w:hAnsi="Arial" w:cs="Arial"/>
                      <w:b/>
                      <w:bCs/>
                      <w:sz w:val="20"/>
                      <w:szCs w:val="20"/>
                    </w:rPr>
                  </w:pPr>
                  <w:r>
                    <w:rPr>
                      <w:rFonts w:ascii="Arial" w:hAnsi="Arial" w:cs="Arial"/>
                      <w:b/>
                      <w:bCs/>
                      <w:sz w:val="20"/>
                      <w:szCs w:val="20"/>
                    </w:rPr>
                    <w:t>ODFW</w:t>
                  </w:r>
                </w:p>
              </w:tc>
              <w:tc>
                <w:tcPr>
                  <w:tcW w:w="0" w:type="auto"/>
                  <w:tcBorders>
                    <w:top w:val="nil"/>
                    <w:left w:val="nil"/>
                    <w:bottom w:val="single" w:sz="8" w:space="0" w:color="auto"/>
                  </w:tcBorders>
                  <w:shd w:val="clear" w:color="auto" w:fill="auto"/>
                  <w:noWrap/>
                  <w:tcMar>
                    <w:top w:w="15" w:type="dxa"/>
                    <w:left w:w="15" w:type="dxa"/>
                    <w:bottom w:w="0" w:type="dxa"/>
                    <w:right w:w="15" w:type="dxa"/>
                  </w:tcMar>
                  <w:vAlign w:val="bottom"/>
                </w:tcPr>
                <w:p w:rsidR="003863F0" w:rsidRDefault="003863F0" w:rsidP="003863F0">
                  <w:pPr>
                    <w:jc w:val="center"/>
                    <w:rPr>
                      <w:rFonts w:ascii="Arial" w:hAnsi="Arial" w:cs="Arial"/>
                      <w:b/>
                      <w:bCs/>
                      <w:sz w:val="20"/>
                      <w:szCs w:val="20"/>
                    </w:rPr>
                  </w:pPr>
                  <w:r>
                    <w:rPr>
                      <w:rFonts w:ascii="Arial" w:hAnsi="Arial" w:cs="Arial"/>
                      <w:b/>
                      <w:bCs/>
                      <w:sz w:val="20"/>
                      <w:szCs w:val="20"/>
                    </w:rPr>
                    <w:t>Total PIT-tags</w:t>
                  </w:r>
                </w:p>
              </w:tc>
            </w:tr>
            <w:tr w:rsidR="003863F0" w:rsidTr="003863F0">
              <w:trPr>
                <w:trHeight w:val="255"/>
              </w:trPr>
              <w:tc>
                <w:tcPr>
                  <w:tcW w:w="3885" w:type="dxa"/>
                  <w:tcBorders>
                    <w:top w:val="nil"/>
                    <w:bottom w:val="nil"/>
                    <w:right w:val="nil"/>
                  </w:tcBorders>
                  <w:shd w:val="clear" w:color="auto" w:fill="auto"/>
                  <w:noWrap/>
                  <w:tcMar>
                    <w:top w:w="15" w:type="dxa"/>
                    <w:left w:w="180" w:type="dxa"/>
                    <w:bottom w:w="0" w:type="dxa"/>
                    <w:right w:w="15" w:type="dxa"/>
                  </w:tcMar>
                  <w:vAlign w:val="bottom"/>
                </w:tcPr>
                <w:p w:rsidR="003863F0" w:rsidRPr="003863F0" w:rsidRDefault="003863F0" w:rsidP="003863F0">
                  <w:pPr>
                    <w:ind w:firstLineChars="100" w:firstLine="200"/>
                    <w:rPr>
                      <w:color w:val="000000"/>
                      <w:sz w:val="20"/>
                      <w:szCs w:val="20"/>
                    </w:rPr>
                  </w:pPr>
                  <w:r w:rsidRPr="003863F0">
                    <w:rPr>
                      <w:color w:val="000000"/>
                      <w:sz w:val="20"/>
                      <w:szCs w:val="20"/>
                    </w:rPr>
                    <w:t>Clearwater/Salmon tributaries</w:t>
                  </w:r>
                </w:p>
              </w:tc>
              <w:tc>
                <w:tcPr>
                  <w:tcW w:w="1295"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Ch./St.</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24,000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40,000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
              </w:tc>
              <w:tc>
                <w:tcPr>
                  <w:tcW w:w="0" w:type="auto"/>
                  <w:tcBorders>
                    <w:top w:val="nil"/>
                    <w:left w:val="nil"/>
                    <w:bottom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64,000</w:t>
                  </w:r>
                </w:p>
              </w:tc>
            </w:tr>
            <w:tr w:rsidR="003863F0" w:rsidTr="003863F0">
              <w:trPr>
                <w:trHeight w:val="255"/>
              </w:trPr>
              <w:tc>
                <w:tcPr>
                  <w:tcW w:w="3885" w:type="dxa"/>
                  <w:tcBorders>
                    <w:top w:val="nil"/>
                    <w:bottom w:val="nil"/>
                    <w:right w:val="nil"/>
                  </w:tcBorders>
                  <w:shd w:val="clear" w:color="auto" w:fill="auto"/>
                  <w:noWrap/>
                  <w:tcMar>
                    <w:top w:w="15" w:type="dxa"/>
                    <w:left w:w="180" w:type="dxa"/>
                    <w:bottom w:w="0" w:type="dxa"/>
                    <w:right w:w="15" w:type="dxa"/>
                  </w:tcMar>
                  <w:vAlign w:val="bottom"/>
                </w:tcPr>
                <w:p w:rsidR="003863F0" w:rsidRPr="003863F0" w:rsidRDefault="003863F0" w:rsidP="003863F0">
                  <w:pPr>
                    <w:ind w:firstLineChars="100" w:firstLine="200"/>
                    <w:rPr>
                      <w:color w:val="000000"/>
                      <w:sz w:val="20"/>
                      <w:szCs w:val="20"/>
                    </w:rPr>
                  </w:pPr>
                  <w:r w:rsidRPr="003863F0">
                    <w:rPr>
                      <w:color w:val="000000"/>
                      <w:sz w:val="20"/>
                      <w:szCs w:val="20"/>
                    </w:rPr>
                    <w:t>Snake &amp; Salmon Traps</w:t>
                  </w:r>
                </w:p>
              </w:tc>
              <w:tc>
                <w:tcPr>
                  <w:tcW w:w="1295"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Ch./St.</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23,400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7,000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
              </w:tc>
              <w:tc>
                <w:tcPr>
                  <w:tcW w:w="0" w:type="auto"/>
                  <w:tcBorders>
                    <w:top w:val="nil"/>
                    <w:left w:val="nil"/>
                    <w:bottom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30,400</w:t>
                  </w:r>
                </w:p>
              </w:tc>
            </w:tr>
            <w:tr w:rsidR="003863F0" w:rsidTr="003863F0">
              <w:trPr>
                <w:trHeight w:val="255"/>
              </w:trPr>
              <w:tc>
                <w:tcPr>
                  <w:tcW w:w="3885" w:type="dxa"/>
                  <w:tcBorders>
                    <w:top w:val="nil"/>
                    <w:bottom w:val="nil"/>
                    <w:right w:val="nil"/>
                  </w:tcBorders>
                  <w:shd w:val="clear" w:color="auto" w:fill="auto"/>
                  <w:noWrap/>
                  <w:tcMar>
                    <w:top w:w="15" w:type="dxa"/>
                    <w:left w:w="180" w:type="dxa"/>
                    <w:bottom w:w="0" w:type="dxa"/>
                    <w:right w:w="15" w:type="dxa"/>
                  </w:tcMar>
                  <w:vAlign w:val="bottom"/>
                </w:tcPr>
                <w:p w:rsidR="003863F0" w:rsidRPr="003863F0" w:rsidRDefault="003863F0" w:rsidP="003863F0">
                  <w:pPr>
                    <w:ind w:firstLineChars="100" w:firstLine="200"/>
                    <w:rPr>
                      <w:color w:val="000000"/>
                      <w:sz w:val="20"/>
                      <w:szCs w:val="20"/>
                    </w:rPr>
                  </w:pPr>
                  <w:smartTag w:uri="urn:schemas-microsoft-com:office:smarttags" w:element="place">
                    <w:smartTag w:uri="urn:schemas-microsoft-com:office:smarttags" w:element="City">
                      <w:r w:rsidRPr="003863F0">
                        <w:rPr>
                          <w:color w:val="000000"/>
                          <w:sz w:val="20"/>
                          <w:szCs w:val="20"/>
                        </w:rPr>
                        <w:t>Clearwater</w:t>
                      </w:r>
                    </w:smartTag>
                  </w:smartTag>
                  <w:r w:rsidRPr="003863F0">
                    <w:rPr>
                      <w:color w:val="000000"/>
                      <w:sz w:val="20"/>
                      <w:szCs w:val="20"/>
                    </w:rPr>
                    <w:t xml:space="preserve"> Trap</w:t>
                  </w:r>
                </w:p>
              </w:tc>
              <w:tc>
                <w:tcPr>
                  <w:tcW w:w="1295"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Ch./St.</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5,200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
              </w:tc>
              <w:tc>
                <w:tcPr>
                  <w:tcW w:w="0" w:type="auto"/>
                  <w:tcBorders>
                    <w:top w:val="nil"/>
                    <w:left w:val="nil"/>
                    <w:bottom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5,200</w:t>
                  </w:r>
                </w:p>
              </w:tc>
            </w:tr>
            <w:tr w:rsidR="003863F0" w:rsidTr="003863F0">
              <w:trPr>
                <w:trHeight w:val="255"/>
              </w:trPr>
              <w:tc>
                <w:tcPr>
                  <w:tcW w:w="3885" w:type="dxa"/>
                  <w:tcBorders>
                    <w:top w:val="nil"/>
                    <w:bottom w:val="nil"/>
                    <w:right w:val="nil"/>
                  </w:tcBorders>
                  <w:shd w:val="clear" w:color="auto" w:fill="auto"/>
                  <w:noWrap/>
                  <w:tcMar>
                    <w:top w:w="15" w:type="dxa"/>
                    <w:left w:w="180" w:type="dxa"/>
                    <w:bottom w:w="0" w:type="dxa"/>
                    <w:right w:w="15" w:type="dxa"/>
                  </w:tcMar>
                  <w:vAlign w:val="bottom"/>
                </w:tcPr>
                <w:p w:rsidR="003863F0" w:rsidRPr="003863F0" w:rsidRDefault="003863F0" w:rsidP="003863F0">
                  <w:pPr>
                    <w:ind w:firstLineChars="100" w:firstLine="200"/>
                    <w:rPr>
                      <w:color w:val="000000"/>
                      <w:sz w:val="20"/>
                      <w:szCs w:val="20"/>
                    </w:rPr>
                  </w:pPr>
                  <w:r w:rsidRPr="003863F0">
                    <w:rPr>
                      <w:color w:val="000000"/>
                      <w:sz w:val="20"/>
                      <w:szCs w:val="20"/>
                    </w:rPr>
                    <w:t xml:space="preserve">Grande </w:t>
                  </w:r>
                  <w:proofErr w:type="spellStart"/>
                  <w:r w:rsidRPr="003863F0">
                    <w:rPr>
                      <w:color w:val="000000"/>
                      <w:sz w:val="20"/>
                      <w:szCs w:val="20"/>
                    </w:rPr>
                    <w:t>Ronde</w:t>
                  </w:r>
                  <w:proofErr w:type="spellEnd"/>
                  <w:r w:rsidRPr="003863F0">
                    <w:rPr>
                      <w:color w:val="000000"/>
                      <w:sz w:val="20"/>
                      <w:szCs w:val="20"/>
                    </w:rPr>
                    <w:t xml:space="preserve"> Trap</w:t>
                  </w:r>
                </w:p>
              </w:tc>
              <w:tc>
                <w:tcPr>
                  <w:tcW w:w="1295"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smartTag w:uri="urn:schemas-microsoft-com:office:smarttags" w:element="place">
                    <w:smartTag w:uri="urn:schemas-microsoft-com:office:smarttags" w:element="country-region">
                      <w:r w:rsidRPr="003863F0">
                        <w:rPr>
                          <w:color w:val="000000"/>
                          <w:sz w:val="20"/>
                          <w:szCs w:val="20"/>
                        </w:rPr>
                        <w:t>Ch.</w:t>
                      </w:r>
                    </w:smartTag>
                  </w:smartTag>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9,000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1,400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
              </w:tc>
              <w:tc>
                <w:tcPr>
                  <w:tcW w:w="0" w:type="auto"/>
                  <w:tcBorders>
                    <w:top w:val="nil"/>
                    <w:left w:val="nil"/>
                    <w:bottom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10,400</w:t>
                  </w:r>
                </w:p>
              </w:tc>
            </w:tr>
            <w:tr w:rsidR="003863F0" w:rsidTr="003863F0">
              <w:trPr>
                <w:trHeight w:val="255"/>
              </w:trPr>
              <w:tc>
                <w:tcPr>
                  <w:tcW w:w="3885" w:type="dxa"/>
                  <w:tcBorders>
                    <w:top w:val="nil"/>
                    <w:bottom w:val="nil"/>
                    <w:right w:val="nil"/>
                  </w:tcBorders>
                  <w:shd w:val="clear" w:color="auto" w:fill="auto"/>
                  <w:noWrap/>
                  <w:tcMar>
                    <w:top w:w="15" w:type="dxa"/>
                    <w:left w:w="180" w:type="dxa"/>
                    <w:bottom w:w="0" w:type="dxa"/>
                    <w:right w:w="15" w:type="dxa"/>
                  </w:tcMar>
                  <w:vAlign w:val="bottom"/>
                </w:tcPr>
                <w:p w:rsidR="003863F0" w:rsidRPr="003863F0" w:rsidRDefault="003863F0" w:rsidP="003863F0">
                  <w:pPr>
                    <w:ind w:firstLineChars="100" w:firstLine="200"/>
                    <w:rPr>
                      <w:color w:val="000000"/>
                      <w:sz w:val="20"/>
                      <w:szCs w:val="20"/>
                    </w:rPr>
                  </w:pPr>
                  <w:r w:rsidRPr="003863F0">
                    <w:rPr>
                      <w:color w:val="000000"/>
                      <w:sz w:val="20"/>
                      <w:szCs w:val="20"/>
                    </w:rPr>
                    <w:t xml:space="preserve">Grande </w:t>
                  </w:r>
                  <w:proofErr w:type="spellStart"/>
                  <w:r w:rsidRPr="003863F0">
                    <w:rPr>
                      <w:color w:val="000000"/>
                      <w:sz w:val="20"/>
                      <w:szCs w:val="20"/>
                    </w:rPr>
                    <w:t>Ronde</w:t>
                  </w:r>
                  <w:proofErr w:type="spellEnd"/>
                  <w:r w:rsidRPr="003863F0">
                    <w:rPr>
                      <w:color w:val="000000"/>
                      <w:sz w:val="20"/>
                      <w:szCs w:val="20"/>
                    </w:rPr>
                    <w:t xml:space="preserve"> tributaries</w:t>
                  </w:r>
                </w:p>
              </w:tc>
              <w:tc>
                <w:tcPr>
                  <w:tcW w:w="1295"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smartTag w:uri="urn:schemas-microsoft-com:office:smarttags" w:element="place">
                    <w:smartTag w:uri="urn:schemas-microsoft-com:office:smarttags" w:element="country-region">
                      <w:r w:rsidRPr="003863F0">
                        <w:rPr>
                          <w:color w:val="000000"/>
                          <w:sz w:val="20"/>
                          <w:szCs w:val="20"/>
                        </w:rPr>
                        <w:t>Ch.</w:t>
                      </w:r>
                    </w:smartTag>
                  </w:smartTag>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2,200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2,500</w:t>
                  </w:r>
                </w:p>
              </w:tc>
              <w:tc>
                <w:tcPr>
                  <w:tcW w:w="0" w:type="auto"/>
                  <w:tcBorders>
                    <w:top w:val="nil"/>
                    <w:left w:val="nil"/>
                    <w:bottom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4,700</w:t>
                  </w:r>
                </w:p>
              </w:tc>
            </w:tr>
            <w:tr w:rsidR="003863F0" w:rsidTr="003863F0">
              <w:trPr>
                <w:trHeight w:val="270"/>
              </w:trPr>
              <w:tc>
                <w:tcPr>
                  <w:tcW w:w="3885" w:type="dxa"/>
                  <w:tcBorders>
                    <w:top w:val="nil"/>
                    <w:bottom w:val="nil"/>
                    <w:right w:val="nil"/>
                  </w:tcBorders>
                  <w:shd w:val="clear" w:color="auto" w:fill="auto"/>
                  <w:noWrap/>
                  <w:tcMar>
                    <w:top w:w="15" w:type="dxa"/>
                    <w:left w:w="180" w:type="dxa"/>
                    <w:bottom w:w="0" w:type="dxa"/>
                    <w:right w:w="15" w:type="dxa"/>
                  </w:tcMar>
                  <w:vAlign w:val="bottom"/>
                </w:tcPr>
                <w:p w:rsidR="003863F0" w:rsidRPr="003863F0" w:rsidRDefault="003863F0" w:rsidP="003863F0">
                  <w:pPr>
                    <w:ind w:firstLineChars="100" w:firstLine="200"/>
                    <w:rPr>
                      <w:color w:val="000000"/>
                      <w:sz w:val="20"/>
                      <w:szCs w:val="20"/>
                    </w:rPr>
                  </w:pPr>
                  <w:proofErr w:type="spellStart"/>
                  <w:r w:rsidRPr="003863F0">
                    <w:rPr>
                      <w:color w:val="000000"/>
                      <w:sz w:val="20"/>
                      <w:szCs w:val="20"/>
                    </w:rPr>
                    <w:t>Chiwawa</w:t>
                  </w:r>
                  <w:proofErr w:type="spellEnd"/>
                  <w:r w:rsidRPr="003863F0">
                    <w:rPr>
                      <w:color w:val="000000"/>
                      <w:sz w:val="20"/>
                      <w:szCs w:val="20"/>
                    </w:rPr>
                    <w:t xml:space="preserve"> Trap, </w:t>
                  </w:r>
                  <w:smartTag w:uri="urn:schemas-microsoft-com:office:smarttags" w:element="place">
                    <w:r w:rsidRPr="003863F0">
                      <w:rPr>
                        <w:color w:val="000000"/>
                        <w:sz w:val="20"/>
                        <w:szCs w:val="20"/>
                      </w:rPr>
                      <w:t>Lower Wenatchee</w:t>
                    </w:r>
                  </w:smartTag>
                  <w:r w:rsidRPr="003863F0">
                    <w:rPr>
                      <w:color w:val="000000"/>
                      <w:sz w:val="20"/>
                      <w:szCs w:val="20"/>
                    </w:rPr>
                    <w:t xml:space="preserve"> Trap</w:t>
                  </w:r>
                </w:p>
              </w:tc>
              <w:tc>
                <w:tcPr>
                  <w:tcW w:w="1295"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Ch./St.</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30,000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
              </w:tc>
              <w:tc>
                <w:tcPr>
                  <w:tcW w:w="0" w:type="auto"/>
                  <w:tcBorders>
                    <w:top w:val="nil"/>
                    <w:left w:val="nil"/>
                    <w:bottom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30,000</w:t>
                  </w:r>
                </w:p>
              </w:tc>
            </w:tr>
            <w:tr w:rsidR="003863F0" w:rsidTr="003863F0">
              <w:trPr>
                <w:trHeight w:val="270"/>
              </w:trPr>
              <w:tc>
                <w:tcPr>
                  <w:tcW w:w="3885" w:type="dxa"/>
                  <w:tcBorders>
                    <w:top w:val="single" w:sz="8" w:space="0" w:color="auto"/>
                    <w:bottom w:val="single" w:sz="8" w:space="0" w:color="auto"/>
                    <w:right w:val="nil"/>
                  </w:tcBorders>
                  <w:shd w:val="clear" w:color="auto" w:fill="FFFFFF"/>
                  <w:noWrap/>
                  <w:tcMar>
                    <w:top w:w="15" w:type="dxa"/>
                    <w:left w:w="15" w:type="dxa"/>
                    <w:bottom w:w="0" w:type="dxa"/>
                    <w:right w:w="15" w:type="dxa"/>
                  </w:tcMar>
                  <w:vAlign w:val="bottom"/>
                </w:tcPr>
                <w:p w:rsidR="003863F0" w:rsidRPr="003863F0" w:rsidRDefault="003863F0" w:rsidP="003863F0">
                  <w:pPr>
                    <w:rPr>
                      <w:b/>
                      <w:bCs/>
                      <w:sz w:val="20"/>
                      <w:szCs w:val="20"/>
                    </w:rPr>
                  </w:pPr>
                  <w:r w:rsidRPr="003863F0">
                    <w:rPr>
                      <w:b/>
                      <w:bCs/>
                      <w:sz w:val="20"/>
                      <w:szCs w:val="20"/>
                    </w:rPr>
                    <w:t> Grand Total</w:t>
                  </w:r>
                </w:p>
              </w:tc>
              <w:tc>
                <w:tcPr>
                  <w:tcW w:w="1295"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3863F0" w:rsidRDefault="003863F0" w:rsidP="003863F0">
                  <w:pPr>
                    <w:rPr>
                      <w:b/>
                      <w:bCs/>
                      <w:sz w:val="20"/>
                      <w:szCs w:val="20"/>
                    </w:rPr>
                  </w:pPr>
                  <w:r w:rsidRPr="003863F0">
                    <w:rPr>
                      <w:b/>
                      <w:bCs/>
                      <w:sz w:val="20"/>
                      <w:szCs w:val="20"/>
                    </w:rPr>
                    <w:t> </w:t>
                  </w:r>
                </w:p>
              </w:tc>
              <w:tc>
                <w:tcPr>
                  <w:tcW w:w="0" w:type="auto"/>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32,400</w:t>
                  </w:r>
                </w:p>
              </w:tc>
              <w:tc>
                <w:tcPr>
                  <w:tcW w:w="0" w:type="auto"/>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69,800</w:t>
                  </w:r>
                </w:p>
              </w:tc>
              <w:tc>
                <w:tcPr>
                  <w:tcW w:w="0" w:type="auto"/>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40,000</w:t>
                  </w:r>
                </w:p>
              </w:tc>
              <w:tc>
                <w:tcPr>
                  <w:tcW w:w="0" w:type="auto"/>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2,500</w:t>
                  </w:r>
                </w:p>
              </w:tc>
              <w:tc>
                <w:tcPr>
                  <w:tcW w:w="0" w:type="auto"/>
                  <w:tcBorders>
                    <w:top w:val="single" w:sz="8" w:space="0" w:color="auto"/>
                    <w:left w:val="nil"/>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144,700</w:t>
                  </w:r>
                </w:p>
              </w:tc>
            </w:tr>
            <w:tr w:rsidR="003863F0" w:rsidRPr="00CA458C" w:rsidTr="003863F0">
              <w:trPr>
                <w:trHeight w:val="525"/>
              </w:trPr>
              <w:tc>
                <w:tcPr>
                  <w:tcW w:w="9288" w:type="dxa"/>
                  <w:gridSpan w:val="7"/>
                  <w:tcBorders>
                    <w:top w:val="single" w:sz="8" w:space="0" w:color="auto"/>
                    <w:left w:val="nil"/>
                    <w:bottom w:val="nil"/>
                    <w:right w:val="nil"/>
                  </w:tcBorders>
                  <w:shd w:val="clear" w:color="auto" w:fill="auto"/>
                  <w:tcMar>
                    <w:top w:w="15" w:type="dxa"/>
                    <w:left w:w="15" w:type="dxa"/>
                    <w:bottom w:w="0" w:type="dxa"/>
                    <w:right w:w="15" w:type="dxa"/>
                  </w:tcMar>
                  <w:vAlign w:val="bottom"/>
                </w:tcPr>
                <w:p w:rsidR="003863F0" w:rsidRPr="00CA458C" w:rsidRDefault="003863F0" w:rsidP="003863F0">
                  <w:pPr>
                    <w:rPr>
                      <w:sz w:val="20"/>
                      <w:szCs w:val="20"/>
                    </w:rPr>
                  </w:pPr>
                  <w:r w:rsidRPr="00CA458C">
                    <w:rPr>
                      <w:sz w:val="20"/>
                      <w:szCs w:val="20"/>
                      <w:vertAlign w:val="superscript"/>
                    </w:rPr>
                    <w:t>1</w:t>
                  </w:r>
                  <w:r>
                    <w:rPr>
                      <w:sz w:val="20"/>
                      <w:szCs w:val="20"/>
                    </w:rPr>
                    <w:t xml:space="preserve"> </w:t>
                  </w:r>
                  <w:r w:rsidRPr="00CA458C">
                    <w:rPr>
                      <w:sz w:val="20"/>
                      <w:szCs w:val="20"/>
                    </w:rPr>
                    <w:t xml:space="preserve">Agencies are </w:t>
                  </w:r>
                  <w:proofErr w:type="spellStart"/>
                  <w:r w:rsidRPr="00CA458C">
                    <w:rPr>
                      <w:sz w:val="20"/>
                      <w:szCs w:val="20"/>
                    </w:rPr>
                    <w:t>Smolt</w:t>
                  </w:r>
                  <w:proofErr w:type="spellEnd"/>
                  <w:r w:rsidRPr="00CA458C">
                    <w:rPr>
                      <w:sz w:val="20"/>
                      <w:szCs w:val="20"/>
                    </w:rPr>
                    <w:t xml:space="preserve"> Monitoring Program (SMP), Idaho </w:t>
                  </w:r>
                  <w:r>
                    <w:rPr>
                      <w:sz w:val="20"/>
                      <w:szCs w:val="20"/>
                    </w:rPr>
                    <w:t xml:space="preserve">Department of </w:t>
                  </w:r>
                  <w:r w:rsidRPr="00CA458C">
                    <w:rPr>
                      <w:sz w:val="20"/>
                      <w:szCs w:val="20"/>
                    </w:rPr>
                    <w:t>Fish and Game (IDFG), and Oregon Department of Fish and Wildlife (ODFW).  Ch = wild Chinook and St = wild steelhead.  PIT</w:t>
                  </w:r>
                  <w:r>
                    <w:rPr>
                      <w:sz w:val="20"/>
                      <w:szCs w:val="20"/>
                    </w:rPr>
                    <w:t>-</w:t>
                  </w:r>
                  <w:r w:rsidRPr="00CA458C">
                    <w:rPr>
                      <w:sz w:val="20"/>
                      <w:szCs w:val="20"/>
                    </w:rPr>
                    <w:t xml:space="preserve">tags are provided for both wild Chinook and wild steelhead at some locations but the actual numbers captured and tagged by species </w:t>
                  </w:r>
                  <w:r>
                    <w:rPr>
                      <w:sz w:val="20"/>
                      <w:szCs w:val="20"/>
                    </w:rPr>
                    <w:t>a</w:t>
                  </w:r>
                  <w:r w:rsidRPr="00CA458C">
                    <w:rPr>
                      <w:sz w:val="20"/>
                      <w:szCs w:val="20"/>
                    </w:rPr>
                    <w:t xml:space="preserve"> not known until after the outmigration is complete.</w:t>
                  </w:r>
                </w:p>
              </w:tc>
            </w:tr>
          </w:tbl>
          <w:p w:rsidR="003863F0" w:rsidRDefault="003863F0" w:rsidP="003863F0">
            <w:pPr>
              <w:rPr>
                <w:color w:val="000000"/>
                <w:sz w:val="20"/>
                <w:szCs w:val="20"/>
              </w:rPr>
            </w:pPr>
          </w:p>
          <w:p w:rsidR="003863F0" w:rsidRDefault="003863F0" w:rsidP="003863F0">
            <w:pPr>
              <w:pStyle w:val="Tablecaption"/>
              <w:framePr w:wrap="auto" w:vAnchor="margin" w:yAlign="inline"/>
            </w:pPr>
            <w:r>
              <w:t xml:space="preserve">Table 4.  </w:t>
            </w:r>
            <w:r w:rsidRPr="003863F0">
              <w:rPr>
                <w:b w:val="0"/>
              </w:rPr>
              <w:t>Groups marked in 2010 that do not include PIT-tags provided by the CSS</w:t>
            </w:r>
            <w:r w:rsidR="00DE5956">
              <w:rPr>
                <w:b w:val="0"/>
              </w:rPr>
              <w:t xml:space="preserve"> project</w:t>
            </w:r>
            <w:r w:rsidRPr="003863F0">
              <w:rPr>
                <w:b w:val="0"/>
              </w:rPr>
              <w:t xml:space="preserve"> but </w:t>
            </w:r>
            <w:r w:rsidR="00DE5956">
              <w:rPr>
                <w:b w:val="0"/>
              </w:rPr>
              <w:t xml:space="preserve">which </w:t>
            </w:r>
            <w:r w:rsidRPr="003863F0">
              <w:rPr>
                <w:b w:val="0"/>
              </w:rPr>
              <w:t xml:space="preserve">are included in the </w:t>
            </w:r>
            <w:r w:rsidR="00DE5956">
              <w:rPr>
                <w:b w:val="0"/>
              </w:rPr>
              <w:t xml:space="preserve">CSS </w:t>
            </w:r>
            <w:r w:rsidRPr="003863F0">
              <w:rPr>
                <w:b w:val="0"/>
              </w:rPr>
              <w:t xml:space="preserve">study.  The CSS </w:t>
            </w:r>
            <w:r w:rsidR="00DE5956">
              <w:rPr>
                <w:b w:val="0"/>
              </w:rPr>
              <w:t xml:space="preserve">project </w:t>
            </w:r>
            <w:r w:rsidRPr="003863F0">
              <w:rPr>
                <w:b w:val="0"/>
              </w:rPr>
              <w:t>does random pre-assignments for some groups.  The location of</w:t>
            </w:r>
            <w:r w:rsidR="003C2675">
              <w:rPr>
                <w:b w:val="0"/>
              </w:rPr>
              <w:t xml:space="preserve"> the marking location or </w:t>
            </w:r>
            <w:r w:rsidRPr="003863F0">
              <w:rPr>
                <w:b w:val="0"/>
              </w:rPr>
              <w:t xml:space="preserve">hatchery, </w:t>
            </w:r>
            <w:r w:rsidR="003C2675">
              <w:rPr>
                <w:b w:val="0"/>
              </w:rPr>
              <w:t xml:space="preserve">the </w:t>
            </w:r>
            <w:r w:rsidRPr="003863F0">
              <w:rPr>
                <w:b w:val="0"/>
              </w:rPr>
              <w:t>species,</w:t>
            </w:r>
            <w:r w:rsidR="003C2675">
              <w:rPr>
                <w:b w:val="0"/>
              </w:rPr>
              <w:t xml:space="preserve"> the</w:t>
            </w:r>
            <w:r w:rsidRPr="003863F0">
              <w:rPr>
                <w:b w:val="0"/>
              </w:rPr>
              <w:t xml:space="preserve"> primary marking agency and tag totals are shown for each.</w:t>
            </w:r>
          </w:p>
          <w:tbl>
            <w:tblPr>
              <w:tblW w:w="9220" w:type="dxa"/>
              <w:tblCellMar>
                <w:left w:w="0" w:type="dxa"/>
                <w:right w:w="0" w:type="dxa"/>
              </w:tblCellMar>
              <w:tblLook w:val="0000"/>
            </w:tblPr>
            <w:tblGrid>
              <w:gridCol w:w="2480"/>
              <w:gridCol w:w="880"/>
              <w:gridCol w:w="675"/>
              <w:gridCol w:w="624"/>
              <w:gridCol w:w="817"/>
              <w:gridCol w:w="777"/>
              <w:gridCol w:w="897"/>
              <w:gridCol w:w="771"/>
              <w:gridCol w:w="658"/>
              <w:gridCol w:w="658"/>
            </w:tblGrid>
            <w:tr w:rsidR="003863F0" w:rsidRPr="003863F0" w:rsidTr="003863F0">
              <w:trPr>
                <w:trHeight w:val="270"/>
              </w:trPr>
              <w:tc>
                <w:tcPr>
                  <w:tcW w:w="2480" w:type="dxa"/>
                  <w:shd w:val="clear" w:color="auto" w:fill="auto"/>
                  <w:noWrap/>
                  <w:tcMar>
                    <w:top w:w="15" w:type="dxa"/>
                    <w:left w:w="15" w:type="dxa"/>
                    <w:bottom w:w="0" w:type="dxa"/>
                    <w:right w:w="15" w:type="dxa"/>
                  </w:tcMar>
                  <w:vAlign w:val="bottom"/>
                </w:tcPr>
                <w:p w:rsidR="003863F0" w:rsidRPr="003863F0" w:rsidRDefault="003863F0" w:rsidP="003863F0">
                  <w:pPr>
                    <w:rPr>
                      <w:sz w:val="20"/>
                      <w:szCs w:val="20"/>
                    </w:rPr>
                  </w:pPr>
                </w:p>
              </w:tc>
              <w:tc>
                <w:tcPr>
                  <w:tcW w:w="880" w:type="dxa"/>
                  <w:shd w:val="clear" w:color="auto" w:fill="auto"/>
                  <w:noWrap/>
                  <w:tcMar>
                    <w:top w:w="15" w:type="dxa"/>
                    <w:left w:w="15" w:type="dxa"/>
                    <w:bottom w:w="0" w:type="dxa"/>
                    <w:right w:w="15" w:type="dxa"/>
                  </w:tcMar>
                  <w:vAlign w:val="bottom"/>
                </w:tcPr>
                <w:p w:rsidR="003863F0" w:rsidRPr="003863F0" w:rsidRDefault="003863F0" w:rsidP="003863F0">
                  <w:pPr>
                    <w:rPr>
                      <w:sz w:val="20"/>
                      <w:szCs w:val="20"/>
                    </w:rPr>
                  </w:pPr>
                </w:p>
              </w:tc>
              <w:tc>
                <w:tcPr>
                  <w:tcW w:w="5860" w:type="dxa"/>
                  <w:gridSpan w:val="8"/>
                  <w:tcBorders>
                    <w:bottom w:val="single" w:sz="8" w:space="0" w:color="auto"/>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p>
                <w:p w:rsidR="003863F0" w:rsidRPr="003863F0" w:rsidRDefault="003863F0" w:rsidP="003863F0">
                  <w:pPr>
                    <w:jc w:val="center"/>
                    <w:rPr>
                      <w:b/>
                      <w:bCs/>
                      <w:sz w:val="20"/>
                      <w:szCs w:val="20"/>
                    </w:rPr>
                  </w:pPr>
                  <w:r w:rsidRPr="003863F0">
                    <w:rPr>
                      <w:b/>
                      <w:bCs/>
                      <w:sz w:val="20"/>
                      <w:szCs w:val="20"/>
                    </w:rPr>
                    <w:t>PIT-Tag Marking Agency</w:t>
                  </w:r>
                  <w:r w:rsidRPr="003863F0">
                    <w:rPr>
                      <w:b/>
                      <w:bCs/>
                      <w:sz w:val="20"/>
                      <w:szCs w:val="20"/>
                      <w:vertAlign w:val="superscript"/>
                    </w:rPr>
                    <w:t>1</w:t>
                  </w:r>
                </w:p>
              </w:tc>
            </w:tr>
            <w:tr w:rsidR="003863F0" w:rsidRPr="003863F0" w:rsidTr="003863F0">
              <w:trPr>
                <w:trHeight w:val="270"/>
              </w:trPr>
              <w:tc>
                <w:tcPr>
                  <w:tcW w:w="2480" w:type="dxa"/>
                  <w:tcBorders>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Location/Hatchery</w:t>
                  </w:r>
                </w:p>
              </w:tc>
              <w:tc>
                <w:tcPr>
                  <w:tcW w:w="880" w:type="dxa"/>
                  <w:tcBorders>
                    <w:left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Species</w:t>
                  </w:r>
                </w:p>
              </w:tc>
              <w:tc>
                <w:tcPr>
                  <w:tcW w:w="658" w:type="dxa"/>
                  <w:tcBorders>
                    <w:top w:val="single" w:sz="8" w:space="0" w:color="auto"/>
                    <w:left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CTUIR</w:t>
                  </w:r>
                </w:p>
              </w:tc>
              <w:tc>
                <w:tcPr>
                  <w:tcW w:w="624" w:type="dxa"/>
                  <w:tcBorders>
                    <w:top w:val="single" w:sz="8" w:space="0" w:color="auto"/>
                    <w:left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SBT</w:t>
                  </w:r>
                </w:p>
              </w:tc>
              <w:tc>
                <w:tcPr>
                  <w:tcW w:w="817" w:type="dxa"/>
                  <w:tcBorders>
                    <w:top w:val="single" w:sz="8" w:space="0" w:color="auto"/>
                    <w:left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NPT</w:t>
                  </w:r>
                </w:p>
              </w:tc>
              <w:tc>
                <w:tcPr>
                  <w:tcW w:w="777" w:type="dxa"/>
                  <w:tcBorders>
                    <w:top w:val="single" w:sz="8" w:space="0" w:color="auto"/>
                    <w:left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ODFW</w:t>
                  </w:r>
                </w:p>
              </w:tc>
              <w:tc>
                <w:tcPr>
                  <w:tcW w:w="897" w:type="dxa"/>
                  <w:tcBorders>
                    <w:top w:val="single" w:sz="8" w:space="0" w:color="auto"/>
                    <w:left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COE</w:t>
                  </w:r>
                </w:p>
              </w:tc>
              <w:tc>
                <w:tcPr>
                  <w:tcW w:w="771" w:type="dxa"/>
                  <w:tcBorders>
                    <w:top w:val="single" w:sz="8" w:space="0" w:color="auto"/>
                    <w:left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USFWS</w:t>
                  </w:r>
                </w:p>
              </w:tc>
              <w:tc>
                <w:tcPr>
                  <w:tcW w:w="658" w:type="dxa"/>
                  <w:tcBorders>
                    <w:top w:val="single" w:sz="8" w:space="0" w:color="auto"/>
                    <w:left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YINN</w:t>
                  </w:r>
                </w:p>
              </w:tc>
              <w:tc>
                <w:tcPr>
                  <w:tcW w:w="658" w:type="dxa"/>
                  <w:tcBorders>
                    <w:top w:val="single" w:sz="8" w:space="0" w:color="auto"/>
                    <w:left w:val="nil"/>
                    <w:bottom w:val="single" w:sz="8" w:space="0" w:color="auto"/>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SMP</w:t>
                  </w:r>
                </w:p>
              </w:tc>
            </w:tr>
            <w:tr w:rsidR="003863F0" w:rsidRPr="003863F0" w:rsidTr="003863F0">
              <w:trPr>
                <w:trHeight w:val="255"/>
              </w:trPr>
              <w:tc>
                <w:tcPr>
                  <w:tcW w:w="2480" w:type="dxa"/>
                  <w:tcBorders>
                    <w:top w:val="single" w:sz="8" w:space="0" w:color="auto"/>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rPr>
                      <w:b/>
                      <w:bCs/>
                      <w:sz w:val="20"/>
                      <w:szCs w:val="20"/>
                    </w:rPr>
                  </w:pPr>
                  <w:r w:rsidRPr="003863F0">
                    <w:rPr>
                      <w:b/>
                      <w:bCs/>
                      <w:sz w:val="20"/>
                      <w:szCs w:val="20"/>
                    </w:rPr>
                    <w:t xml:space="preserve"> Wild Groups</w:t>
                  </w:r>
                </w:p>
              </w:tc>
              <w:tc>
                <w:tcPr>
                  <w:tcW w:w="880" w:type="dxa"/>
                  <w:tcBorders>
                    <w:top w:val="single" w:sz="8" w:space="0" w:color="auto"/>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rPr>
                      <w:sz w:val="20"/>
                      <w:szCs w:val="20"/>
                    </w:rPr>
                  </w:pPr>
                </w:p>
              </w:tc>
              <w:tc>
                <w:tcPr>
                  <w:tcW w:w="658" w:type="dxa"/>
                  <w:tcBorders>
                    <w:top w:val="single" w:sz="8" w:space="0" w:color="auto"/>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24" w:type="dxa"/>
                  <w:tcBorders>
                    <w:top w:val="single" w:sz="8" w:space="0" w:color="auto"/>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817" w:type="dxa"/>
                  <w:tcBorders>
                    <w:top w:val="single" w:sz="8" w:space="0" w:color="auto"/>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777" w:type="dxa"/>
                  <w:tcBorders>
                    <w:top w:val="single" w:sz="8" w:space="0" w:color="auto"/>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897" w:type="dxa"/>
                  <w:tcBorders>
                    <w:top w:val="single" w:sz="8" w:space="0" w:color="auto"/>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771" w:type="dxa"/>
                  <w:tcBorders>
                    <w:top w:val="single" w:sz="8" w:space="0" w:color="auto"/>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58" w:type="dxa"/>
                  <w:tcBorders>
                    <w:top w:val="single" w:sz="8" w:space="0" w:color="auto"/>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58" w:type="dxa"/>
                  <w:tcBorders>
                    <w:top w:val="single" w:sz="8" w:space="0" w:color="auto"/>
                    <w:left w:val="nil"/>
                    <w:bottom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r>
            <w:tr w:rsidR="003863F0" w:rsidRPr="003863F0" w:rsidTr="003863F0">
              <w:trPr>
                <w:trHeight w:val="510"/>
              </w:trPr>
              <w:tc>
                <w:tcPr>
                  <w:tcW w:w="2480" w:type="dxa"/>
                  <w:tcBorders>
                    <w:top w:val="nil"/>
                    <w:bottom w:val="nil"/>
                    <w:right w:val="nil"/>
                  </w:tcBorders>
                  <w:shd w:val="clear" w:color="auto" w:fill="auto"/>
                  <w:tcMar>
                    <w:top w:w="15" w:type="dxa"/>
                    <w:left w:w="15" w:type="dxa"/>
                    <w:bottom w:w="0" w:type="dxa"/>
                    <w:right w:w="15" w:type="dxa"/>
                  </w:tcMar>
                  <w:vAlign w:val="center"/>
                </w:tcPr>
                <w:p w:rsidR="003863F0" w:rsidRPr="003863F0" w:rsidRDefault="003863F0" w:rsidP="003863F0">
                  <w:pPr>
                    <w:jc w:val="center"/>
                    <w:rPr>
                      <w:color w:val="000000"/>
                      <w:sz w:val="20"/>
                      <w:szCs w:val="20"/>
                    </w:rPr>
                  </w:pPr>
                  <w:proofErr w:type="spellStart"/>
                  <w:r w:rsidRPr="003863F0">
                    <w:rPr>
                      <w:color w:val="000000"/>
                      <w:sz w:val="20"/>
                      <w:szCs w:val="20"/>
                    </w:rPr>
                    <w:t>Lookingglass</w:t>
                  </w:r>
                  <w:proofErr w:type="spellEnd"/>
                  <w:r w:rsidRPr="003863F0">
                    <w:rPr>
                      <w:color w:val="000000"/>
                      <w:sz w:val="20"/>
                      <w:szCs w:val="20"/>
                    </w:rPr>
                    <w:t xml:space="preserve"> Creek (Grande </w:t>
                  </w:r>
                  <w:proofErr w:type="spellStart"/>
                  <w:r w:rsidRPr="003863F0">
                    <w:rPr>
                      <w:color w:val="000000"/>
                      <w:sz w:val="20"/>
                      <w:szCs w:val="20"/>
                    </w:rPr>
                    <w:t>Ronde</w:t>
                  </w:r>
                  <w:proofErr w:type="spellEnd"/>
                  <w:r w:rsidRPr="003863F0">
                    <w:rPr>
                      <w:color w:val="000000"/>
                      <w:sz w:val="20"/>
                      <w:szCs w:val="20"/>
                    </w:rPr>
                    <w:t xml:space="preserve"> basin)</w:t>
                  </w:r>
                </w:p>
              </w:tc>
              <w:tc>
                <w:tcPr>
                  <w:tcW w:w="880"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Ch./St.</w:t>
                  </w: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3,500*</w:t>
                  </w:r>
                </w:p>
              </w:tc>
              <w:tc>
                <w:tcPr>
                  <w:tcW w:w="624"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77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89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771"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658" w:type="dxa"/>
                  <w:tcBorders>
                    <w:top w:val="nil"/>
                    <w:left w:val="nil"/>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r>
            <w:tr w:rsidR="003863F0" w:rsidRPr="003863F0" w:rsidTr="003863F0">
              <w:trPr>
                <w:trHeight w:val="765"/>
              </w:trPr>
              <w:tc>
                <w:tcPr>
                  <w:tcW w:w="2480" w:type="dxa"/>
                  <w:tcBorders>
                    <w:top w:val="nil"/>
                    <w:bottom w:val="nil"/>
                    <w:right w:val="nil"/>
                  </w:tcBorders>
                  <w:shd w:val="clear" w:color="auto" w:fill="auto"/>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East Fork Salmon,            West Fork Yankee Rivers       (Salmon basin)</w:t>
                  </w:r>
                </w:p>
              </w:tc>
              <w:tc>
                <w:tcPr>
                  <w:tcW w:w="880"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Ch./St.</w:t>
                  </w: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624"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1,300*</w:t>
                  </w:r>
                </w:p>
              </w:tc>
              <w:tc>
                <w:tcPr>
                  <w:tcW w:w="81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77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89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771"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658" w:type="dxa"/>
                  <w:tcBorders>
                    <w:top w:val="nil"/>
                    <w:left w:val="nil"/>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r>
            <w:tr w:rsidR="003863F0" w:rsidRPr="003863F0" w:rsidTr="003863F0">
              <w:trPr>
                <w:trHeight w:val="510"/>
              </w:trPr>
              <w:tc>
                <w:tcPr>
                  <w:tcW w:w="2480" w:type="dxa"/>
                  <w:tcBorders>
                    <w:top w:val="nil"/>
                    <w:bottom w:val="nil"/>
                    <w:right w:val="nil"/>
                  </w:tcBorders>
                  <w:shd w:val="clear" w:color="auto" w:fill="auto"/>
                  <w:tcMar>
                    <w:top w:w="15" w:type="dxa"/>
                    <w:left w:w="15" w:type="dxa"/>
                    <w:bottom w:w="0" w:type="dxa"/>
                    <w:right w:w="15" w:type="dxa"/>
                  </w:tcMar>
                  <w:vAlign w:val="center"/>
                </w:tcPr>
                <w:p w:rsidR="003863F0" w:rsidRPr="003863F0" w:rsidRDefault="003863F0" w:rsidP="003863F0">
                  <w:pPr>
                    <w:jc w:val="center"/>
                    <w:rPr>
                      <w:color w:val="000000"/>
                      <w:sz w:val="20"/>
                      <w:szCs w:val="20"/>
                    </w:rPr>
                  </w:pPr>
                  <w:proofErr w:type="spellStart"/>
                  <w:r w:rsidRPr="003863F0">
                    <w:rPr>
                      <w:color w:val="000000"/>
                      <w:sz w:val="20"/>
                      <w:szCs w:val="20"/>
                    </w:rPr>
                    <w:t>Imnaha</w:t>
                  </w:r>
                  <w:proofErr w:type="spellEnd"/>
                  <w:r w:rsidRPr="003863F0">
                    <w:rPr>
                      <w:color w:val="000000"/>
                      <w:sz w:val="20"/>
                      <w:szCs w:val="20"/>
                    </w:rPr>
                    <w:t xml:space="preserve"> Trap                    (</w:t>
                  </w:r>
                  <w:proofErr w:type="spellStart"/>
                  <w:r w:rsidRPr="003863F0">
                    <w:rPr>
                      <w:color w:val="000000"/>
                      <w:sz w:val="20"/>
                      <w:szCs w:val="20"/>
                    </w:rPr>
                    <w:t>Imnaha</w:t>
                  </w:r>
                  <w:proofErr w:type="spellEnd"/>
                  <w:r w:rsidRPr="003863F0">
                    <w:rPr>
                      <w:color w:val="000000"/>
                      <w:sz w:val="20"/>
                      <w:szCs w:val="20"/>
                    </w:rPr>
                    <w:t xml:space="preserve"> basin)</w:t>
                  </w:r>
                </w:p>
              </w:tc>
              <w:tc>
                <w:tcPr>
                  <w:tcW w:w="880"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Ch./St.</w:t>
                  </w: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624"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15,000**</w:t>
                  </w:r>
                </w:p>
              </w:tc>
              <w:tc>
                <w:tcPr>
                  <w:tcW w:w="77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89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771"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658" w:type="dxa"/>
                  <w:tcBorders>
                    <w:top w:val="nil"/>
                    <w:left w:val="nil"/>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r>
            <w:tr w:rsidR="003863F0" w:rsidRPr="003863F0" w:rsidTr="003863F0">
              <w:trPr>
                <w:trHeight w:val="255"/>
              </w:trPr>
              <w:tc>
                <w:tcPr>
                  <w:tcW w:w="2480" w:type="dxa"/>
                  <w:tcBorders>
                    <w:top w:val="nil"/>
                    <w:bottom w:val="nil"/>
                    <w:right w:val="nil"/>
                  </w:tcBorders>
                  <w:shd w:val="clear" w:color="auto" w:fill="auto"/>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John Day River</w:t>
                  </w:r>
                </w:p>
              </w:tc>
              <w:tc>
                <w:tcPr>
                  <w:tcW w:w="880"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Ch./St.</w:t>
                  </w: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624"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77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r w:rsidRPr="003863F0">
                    <w:rPr>
                      <w:sz w:val="20"/>
                      <w:szCs w:val="20"/>
                    </w:rPr>
                    <w:t>~9,300</w:t>
                  </w:r>
                </w:p>
              </w:tc>
              <w:tc>
                <w:tcPr>
                  <w:tcW w:w="89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771"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658" w:type="dxa"/>
                  <w:tcBorders>
                    <w:top w:val="nil"/>
                    <w:left w:val="nil"/>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r>
            <w:tr w:rsidR="003863F0" w:rsidRPr="003863F0" w:rsidTr="003863F0">
              <w:trPr>
                <w:trHeight w:val="510"/>
              </w:trPr>
              <w:tc>
                <w:tcPr>
                  <w:tcW w:w="2480" w:type="dxa"/>
                  <w:tcBorders>
                    <w:top w:val="nil"/>
                    <w:bottom w:val="nil"/>
                    <w:right w:val="nil"/>
                  </w:tcBorders>
                  <w:shd w:val="clear" w:color="auto" w:fill="auto"/>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Trout Creek             (Deschutes basin)</w:t>
                  </w:r>
                </w:p>
              </w:tc>
              <w:tc>
                <w:tcPr>
                  <w:tcW w:w="880"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St.</w:t>
                  </w: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624"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77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r w:rsidRPr="003863F0">
                    <w:rPr>
                      <w:sz w:val="20"/>
                      <w:szCs w:val="20"/>
                    </w:rPr>
                    <w:t>~1,300</w:t>
                  </w:r>
                </w:p>
              </w:tc>
              <w:tc>
                <w:tcPr>
                  <w:tcW w:w="89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771"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c>
                <w:tcPr>
                  <w:tcW w:w="658" w:type="dxa"/>
                  <w:tcBorders>
                    <w:top w:val="nil"/>
                    <w:left w:val="nil"/>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sz w:val="20"/>
                      <w:szCs w:val="20"/>
                    </w:rPr>
                  </w:pPr>
                </w:p>
              </w:tc>
            </w:tr>
            <w:tr w:rsidR="003863F0" w:rsidRPr="003863F0" w:rsidTr="003863F0">
              <w:trPr>
                <w:trHeight w:val="255"/>
              </w:trPr>
              <w:tc>
                <w:tcPr>
                  <w:tcW w:w="2480" w:type="dxa"/>
                  <w:tcBorders>
                    <w:top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rPr>
                      <w:b/>
                      <w:bCs/>
                      <w:sz w:val="20"/>
                      <w:szCs w:val="20"/>
                    </w:rPr>
                  </w:pPr>
                  <w:r w:rsidRPr="003863F0">
                    <w:rPr>
                      <w:b/>
                      <w:bCs/>
                      <w:sz w:val="20"/>
                      <w:szCs w:val="20"/>
                    </w:rPr>
                    <w:t xml:space="preserve"> Hatchery Groups</w:t>
                  </w:r>
                </w:p>
              </w:tc>
              <w:tc>
                <w:tcPr>
                  <w:tcW w:w="880"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rPr>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24"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77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89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771"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58" w:type="dxa"/>
                  <w:tcBorders>
                    <w:top w:val="nil"/>
                    <w:left w:val="nil"/>
                    <w:bottom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r>
            <w:tr w:rsidR="003863F0" w:rsidRPr="003863F0" w:rsidTr="003863F0">
              <w:trPr>
                <w:trHeight w:val="255"/>
              </w:trPr>
              <w:tc>
                <w:tcPr>
                  <w:tcW w:w="2480" w:type="dxa"/>
                  <w:tcBorders>
                    <w:top w:val="nil"/>
                    <w:bottom w:val="nil"/>
                    <w:right w:val="nil"/>
                  </w:tcBorders>
                  <w:shd w:val="clear" w:color="auto" w:fill="auto"/>
                  <w:noWrap/>
                  <w:tcMar>
                    <w:top w:w="15" w:type="dxa"/>
                    <w:left w:w="180" w:type="dxa"/>
                    <w:bottom w:w="0" w:type="dxa"/>
                    <w:right w:w="15" w:type="dxa"/>
                  </w:tcMar>
                  <w:vAlign w:val="bottom"/>
                </w:tcPr>
                <w:p w:rsidR="003863F0" w:rsidRPr="003863F0" w:rsidRDefault="003863F0" w:rsidP="003863F0">
                  <w:pPr>
                    <w:ind w:firstLineChars="100" w:firstLine="200"/>
                    <w:rPr>
                      <w:color w:val="000000"/>
                      <w:sz w:val="20"/>
                      <w:szCs w:val="20"/>
                    </w:rPr>
                  </w:pPr>
                  <w:r w:rsidRPr="003863F0">
                    <w:rPr>
                      <w:color w:val="000000"/>
                      <w:sz w:val="20"/>
                      <w:szCs w:val="20"/>
                    </w:rPr>
                    <w:t>Snake River</w:t>
                  </w:r>
                </w:p>
              </w:tc>
              <w:tc>
                <w:tcPr>
                  <w:tcW w:w="880"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Sockeye</w:t>
                  </w:r>
                </w:p>
              </w:tc>
              <w:tc>
                <w:tcPr>
                  <w:tcW w:w="658"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24"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77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89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63,600</w:t>
                  </w:r>
                  <w:r w:rsidRPr="003863F0">
                    <w:rPr>
                      <w:sz w:val="20"/>
                      <w:szCs w:val="20"/>
                      <w:vertAlign w:val="superscript"/>
                    </w:rPr>
                    <w:t>●</w:t>
                  </w:r>
                </w:p>
              </w:tc>
              <w:tc>
                <w:tcPr>
                  <w:tcW w:w="771"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58" w:type="dxa"/>
                  <w:tcBorders>
                    <w:top w:val="nil"/>
                    <w:left w:val="nil"/>
                    <w:bottom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r>
            <w:tr w:rsidR="003863F0" w:rsidRPr="003863F0" w:rsidTr="003863F0">
              <w:trPr>
                <w:trHeight w:val="255"/>
              </w:trPr>
              <w:tc>
                <w:tcPr>
                  <w:tcW w:w="2480" w:type="dxa"/>
                  <w:tcBorders>
                    <w:top w:val="nil"/>
                    <w:bottom w:val="nil"/>
                    <w:right w:val="nil"/>
                  </w:tcBorders>
                  <w:shd w:val="clear" w:color="auto" w:fill="auto"/>
                  <w:noWrap/>
                  <w:tcMar>
                    <w:top w:w="15" w:type="dxa"/>
                    <w:left w:w="180" w:type="dxa"/>
                    <w:bottom w:w="0" w:type="dxa"/>
                    <w:right w:w="15" w:type="dxa"/>
                  </w:tcMar>
                  <w:vAlign w:val="bottom"/>
                </w:tcPr>
                <w:p w:rsidR="003863F0" w:rsidRPr="003863F0" w:rsidRDefault="003863F0" w:rsidP="003863F0">
                  <w:pPr>
                    <w:ind w:firstLineChars="100" w:firstLine="200"/>
                    <w:rPr>
                      <w:color w:val="000000"/>
                      <w:sz w:val="20"/>
                      <w:szCs w:val="20"/>
                    </w:rPr>
                  </w:pPr>
                  <w:r w:rsidRPr="003863F0">
                    <w:rPr>
                      <w:color w:val="000000"/>
                      <w:sz w:val="20"/>
                      <w:szCs w:val="20"/>
                    </w:rPr>
                    <w:t>Carson</w:t>
                  </w:r>
                </w:p>
              </w:tc>
              <w:tc>
                <w:tcPr>
                  <w:tcW w:w="880"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Chinook</w:t>
                  </w:r>
                </w:p>
              </w:tc>
              <w:tc>
                <w:tcPr>
                  <w:tcW w:w="658"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24"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77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89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771"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15,000</w:t>
                  </w:r>
                </w:p>
              </w:tc>
              <w:tc>
                <w:tcPr>
                  <w:tcW w:w="658"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58" w:type="dxa"/>
                  <w:tcBorders>
                    <w:top w:val="nil"/>
                    <w:left w:val="nil"/>
                    <w:bottom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r>
            <w:tr w:rsidR="003863F0" w:rsidRPr="003863F0" w:rsidTr="003863F0">
              <w:trPr>
                <w:trHeight w:val="255"/>
              </w:trPr>
              <w:tc>
                <w:tcPr>
                  <w:tcW w:w="2480" w:type="dxa"/>
                  <w:tcBorders>
                    <w:top w:val="nil"/>
                    <w:bottom w:val="nil"/>
                    <w:right w:val="nil"/>
                  </w:tcBorders>
                  <w:shd w:val="clear" w:color="auto" w:fill="auto"/>
                  <w:noWrap/>
                  <w:tcMar>
                    <w:top w:w="15" w:type="dxa"/>
                    <w:left w:w="180" w:type="dxa"/>
                    <w:bottom w:w="0" w:type="dxa"/>
                    <w:right w:w="15" w:type="dxa"/>
                  </w:tcMar>
                  <w:vAlign w:val="bottom"/>
                </w:tcPr>
                <w:p w:rsidR="003863F0" w:rsidRPr="003863F0" w:rsidRDefault="003863F0" w:rsidP="003863F0">
                  <w:pPr>
                    <w:ind w:firstLineChars="100" w:firstLine="200"/>
                    <w:rPr>
                      <w:color w:val="000000"/>
                      <w:sz w:val="20"/>
                      <w:szCs w:val="20"/>
                    </w:rPr>
                  </w:pPr>
                  <w:r w:rsidRPr="003863F0">
                    <w:rPr>
                      <w:color w:val="000000"/>
                      <w:sz w:val="20"/>
                      <w:szCs w:val="20"/>
                    </w:rPr>
                    <w:t xml:space="preserve">Cle </w:t>
                  </w:r>
                  <w:proofErr w:type="spellStart"/>
                  <w:r w:rsidRPr="003863F0">
                    <w:rPr>
                      <w:color w:val="000000"/>
                      <w:sz w:val="20"/>
                      <w:szCs w:val="20"/>
                    </w:rPr>
                    <w:t>Elum</w:t>
                  </w:r>
                  <w:proofErr w:type="spellEnd"/>
                </w:p>
              </w:tc>
              <w:tc>
                <w:tcPr>
                  <w:tcW w:w="880"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Chinook</w:t>
                  </w:r>
                </w:p>
              </w:tc>
              <w:tc>
                <w:tcPr>
                  <w:tcW w:w="658"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24"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77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89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771"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40,000</w:t>
                  </w:r>
                </w:p>
              </w:tc>
              <w:tc>
                <w:tcPr>
                  <w:tcW w:w="658" w:type="dxa"/>
                  <w:tcBorders>
                    <w:top w:val="nil"/>
                    <w:left w:val="nil"/>
                    <w:bottom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r>
            <w:tr w:rsidR="003863F0" w:rsidRPr="003863F0" w:rsidTr="003863F0">
              <w:trPr>
                <w:trHeight w:val="255"/>
              </w:trPr>
              <w:tc>
                <w:tcPr>
                  <w:tcW w:w="2480" w:type="dxa"/>
                  <w:tcBorders>
                    <w:top w:val="nil"/>
                    <w:right w:val="nil"/>
                  </w:tcBorders>
                  <w:shd w:val="clear" w:color="auto" w:fill="auto"/>
                  <w:noWrap/>
                  <w:tcMar>
                    <w:top w:w="15" w:type="dxa"/>
                    <w:left w:w="180" w:type="dxa"/>
                    <w:bottom w:w="0" w:type="dxa"/>
                    <w:right w:w="15" w:type="dxa"/>
                  </w:tcMar>
                  <w:vAlign w:val="bottom"/>
                </w:tcPr>
                <w:p w:rsidR="003863F0" w:rsidRPr="003863F0" w:rsidRDefault="003863F0" w:rsidP="003863F0">
                  <w:pPr>
                    <w:ind w:firstLineChars="100" w:firstLine="200"/>
                    <w:rPr>
                      <w:color w:val="000000"/>
                      <w:sz w:val="20"/>
                      <w:szCs w:val="20"/>
                    </w:rPr>
                  </w:pPr>
                  <w:r w:rsidRPr="003863F0">
                    <w:rPr>
                      <w:color w:val="000000"/>
                      <w:sz w:val="20"/>
                      <w:szCs w:val="20"/>
                    </w:rPr>
                    <w:t>Leavenworth</w:t>
                  </w:r>
                </w:p>
              </w:tc>
              <w:tc>
                <w:tcPr>
                  <w:tcW w:w="880" w:type="dxa"/>
                  <w:tcBorders>
                    <w:top w:val="nil"/>
                    <w:left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Chinook</w:t>
                  </w:r>
                </w:p>
              </w:tc>
              <w:tc>
                <w:tcPr>
                  <w:tcW w:w="658" w:type="dxa"/>
                  <w:tcBorders>
                    <w:top w:val="nil"/>
                    <w:left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24" w:type="dxa"/>
                  <w:tcBorders>
                    <w:top w:val="nil"/>
                    <w:left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817" w:type="dxa"/>
                  <w:tcBorders>
                    <w:top w:val="nil"/>
                    <w:left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777" w:type="dxa"/>
                  <w:tcBorders>
                    <w:top w:val="nil"/>
                    <w:left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897" w:type="dxa"/>
                  <w:tcBorders>
                    <w:top w:val="nil"/>
                    <w:left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771" w:type="dxa"/>
                  <w:tcBorders>
                    <w:top w:val="nil"/>
                    <w:left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58" w:type="dxa"/>
                  <w:tcBorders>
                    <w:top w:val="nil"/>
                    <w:left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58" w:type="dxa"/>
                  <w:tcBorders>
                    <w:top w:val="nil"/>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15,000</w:t>
                  </w:r>
                </w:p>
              </w:tc>
            </w:tr>
            <w:tr w:rsidR="003863F0" w:rsidRPr="003863F0" w:rsidTr="003863F0">
              <w:trPr>
                <w:trHeight w:val="270"/>
              </w:trPr>
              <w:tc>
                <w:tcPr>
                  <w:tcW w:w="2480" w:type="dxa"/>
                  <w:tcBorders>
                    <w:top w:val="nil"/>
                    <w:bottom w:val="single" w:sz="8" w:space="0" w:color="auto"/>
                    <w:right w:val="nil"/>
                  </w:tcBorders>
                  <w:shd w:val="clear" w:color="auto" w:fill="auto"/>
                  <w:noWrap/>
                  <w:tcMar>
                    <w:top w:w="15" w:type="dxa"/>
                    <w:left w:w="180" w:type="dxa"/>
                    <w:bottom w:w="0" w:type="dxa"/>
                    <w:right w:w="15" w:type="dxa"/>
                  </w:tcMar>
                  <w:vAlign w:val="bottom"/>
                </w:tcPr>
                <w:p w:rsidR="003863F0" w:rsidRPr="003863F0" w:rsidRDefault="003863F0" w:rsidP="003863F0">
                  <w:pPr>
                    <w:ind w:firstLineChars="100" w:firstLine="200"/>
                    <w:rPr>
                      <w:color w:val="000000"/>
                      <w:sz w:val="20"/>
                      <w:szCs w:val="20"/>
                    </w:rPr>
                  </w:pPr>
                  <w:r w:rsidRPr="003863F0">
                    <w:rPr>
                      <w:color w:val="000000"/>
                      <w:sz w:val="20"/>
                      <w:szCs w:val="20"/>
                    </w:rPr>
                    <w:t>Warm Springs</w:t>
                  </w:r>
                </w:p>
              </w:tc>
              <w:tc>
                <w:tcPr>
                  <w:tcW w:w="880"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Chinook</w:t>
                  </w:r>
                </w:p>
              </w:tc>
              <w:tc>
                <w:tcPr>
                  <w:tcW w:w="658"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24"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817"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777"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897"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771"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15,000</w:t>
                  </w:r>
                </w:p>
              </w:tc>
              <w:tc>
                <w:tcPr>
                  <w:tcW w:w="658"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c>
                <w:tcPr>
                  <w:tcW w:w="658" w:type="dxa"/>
                  <w:tcBorders>
                    <w:top w:val="nil"/>
                    <w:left w:val="nil"/>
                    <w:bottom w:val="single" w:sz="8" w:space="0" w:color="auto"/>
                  </w:tcBorders>
                  <w:shd w:val="clear" w:color="auto" w:fill="auto"/>
                  <w:noWrap/>
                  <w:tcMar>
                    <w:top w:w="15" w:type="dxa"/>
                    <w:left w:w="15" w:type="dxa"/>
                    <w:bottom w:w="0" w:type="dxa"/>
                    <w:right w:w="15" w:type="dxa"/>
                  </w:tcMar>
                  <w:vAlign w:val="bottom"/>
                </w:tcPr>
                <w:p w:rsidR="003863F0" w:rsidRPr="003863F0" w:rsidRDefault="003863F0" w:rsidP="003863F0">
                  <w:pPr>
                    <w:jc w:val="center"/>
                    <w:rPr>
                      <w:sz w:val="20"/>
                      <w:szCs w:val="20"/>
                    </w:rPr>
                  </w:pPr>
                </w:p>
              </w:tc>
            </w:tr>
            <w:tr w:rsidR="003863F0" w:rsidRPr="003863F0" w:rsidTr="003863F0">
              <w:trPr>
                <w:trHeight w:val="270"/>
              </w:trPr>
              <w:tc>
                <w:tcPr>
                  <w:tcW w:w="2480" w:type="dxa"/>
                  <w:tcBorders>
                    <w:top w:val="single" w:sz="8" w:space="0" w:color="auto"/>
                    <w:bottom w:val="single" w:sz="8" w:space="0" w:color="auto"/>
                    <w:right w:val="nil"/>
                  </w:tcBorders>
                  <w:shd w:val="clear" w:color="auto" w:fill="FFFFFF"/>
                  <w:noWrap/>
                  <w:tcMar>
                    <w:top w:w="15" w:type="dxa"/>
                    <w:left w:w="15" w:type="dxa"/>
                    <w:bottom w:w="0" w:type="dxa"/>
                    <w:right w:w="15" w:type="dxa"/>
                  </w:tcMar>
                  <w:vAlign w:val="bottom"/>
                </w:tcPr>
                <w:p w:rsidR="003863F0" w:rsidRPr="003863F0" w:rsidRDefault="003863F0" w:rsidP="003863F0">
                  <w:pPr>
                    <w:rPr>
                      <w:b/>
                      <w:bCs/>
                      <w:sz w:val="20"/>
                      <w:szCs w:val="20"/>
                    </w:rPr>
                  </w:pPr>
                  <w:r w:rsidRPr="003863F0">
                    <w:rPr>
                      <w:b/>
                      <w:bCs/>
                      <w:sz w:val="20"/>
                      <w:szCs w:val="20"/>
                    </w:rPr>
                    <w:t>  Grand Total</w:t>
                  </w:r>
                </w:p>
              </w:tc>
              <w:tc>
                <w:tcPr>
                  <w:tcW w:w="880"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3863F0" w:rsidRDefault="003863F0" w:rsidP="003863F0">
                  <w:pPr>
                    <w:rPr>
                      <w:b/>
                      <w:bCs/>
                      <w:sz w:val="20"/>
                      <w:szCs w:val="20"/>
                    </w:rPr>
                  </w:pPr>
                  <w:r w:rsidRPr="003863F0">
                    <w:rPr>
                      <w:b/>
                      <w:bCs/>
                      <w:sz w:val="20"/>
                      <w:szCs w:val="20"/>
                    </w:rPr>
                    <w:t> </w:t>
                  </w:r>
                </w:p>
              </w:tc>
              <w:tc>
                <w:tcPr>
                  <w:tcW w:w="658"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3,500</w:t>
                  </w:r>
                </w:p>
              </w:tc>
              <w:tc>
                <w:tcPr>
                  <w:tcW w:w="624"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1,300</w:t>
                  </w:r>
                </w:p>
              </w:tc>
              <w:tc>
                <w:tcPr>
                  <w:tcW w:w="817"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15,000</w:t>
                  </w:r>
                </w:p>
              </w:tc>
              <w:tc>
                <w:tcPr>
                  <w:tcW w:w="777"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~10,600</w:t>
                  </w:r>
                </w:p>
              </w:tc>
              <w:tc>
                <w:tcPr>
                  <w:tcW w:w="897"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63,600</w:t>
                  </w:r>
                </w:p>
              </w:tc>
              <w:tc>
                <w:tcPr>
                  <w:tcW w:w="771"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30,000</w:t>
                  </w:r>
                </w:p>
              </w:tc>
              <w:tc>
                <w:tcPr>
                  <w:tcW w:w="658"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40,000</w:t>
                  </w:r>
                </w:p>
              </w:tc>
              <w:tc>
                <w:tcPr>
                  <w:tcW w:w="658" w:type="dxa"/>
                  <w:tcBorders>
                    <w:top w:val="single" w:sz="8" w:space="0" w:color="auto"/>
                    <w:left w:val="nil"/>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jc w:val="center"/>
                    <w:rPr>
                      <w:sz w:val="20"/>
                      <w:szCs w:val="20"/>
                    </w:rPr>
                  </w:pPr>
                  <w:r w:rsidRPr="003863F0">
                    <w:rPr>
                      <w:sz w:val="20"/>
                      <w:szCs w:val="20"/>
                    </w:rPr>
                    <w:t>15,000</w:t>
                  </w:r>
                </w:p>
              </w:tc>
            </w:tr>
            <w:tr w:rsidR="003863F0" w:rsidTr="003863F0">
              <w:trPr>
                <w:trHeight w:val="255"/>
              </w:trPr>
              <w:tc>
                <w:tcPr>
                  <w:tcW w:w="9220" w:type="dxa"/>
                  <w:gridSpan w:val="10"/>
                  <w:tcBorders>
                    <w:top w:val="nil"/>
                    <w:left w:val="nil"/>
                    <w:bottom w:val="nil"/>
                    <w:right w:val="nil"/>
                  </w:tcBorders>
                  <w:shd w:val="clear" w:color="auto" w:fill="auto"/>
                  <w:noWrap/>
                  <w:tcMar>
                    <w:top w:w="15" w:type="dxa"/>
                    <w:left w:w="15" w:type="dxa"/>
                    <w:bottom w:w="0" w:type="dxa"/>
                    <w:right w:w="15" w:type="dxa"/>
                  </w:tcMar>
                  <w:vAlign w:val="bottom"/>
                </w:tcPr>
                <w:p w:rsidR="003863F0" w:rsidRPr="00CA458C" w:rsidRDefault="00DE5956" w:rsidP="003863F0">
                  <w:pPr>
                    <w:rPr>
                      <w:color w:val="000000"/>
                      <w:sz w:val="20"/>
                      <w:szCs w:val="20"/>
                    </w:rPr>
                  </w:pPr>
                  <w:r>
                    <w:rPr>
                      <w:color w:val="000000"/>
                      <w:sz w:val="20"/>
                      <w:szCs w:val="20"/>
                    </w:rPr>
                    <w:t xml:space="preserve">* </w:t>
                  </w:r>
                  <w:r w:rsidR="003863F0" w:rsidRPr="00CA458C">
                    <w:rPr>
                      <w:color w:val="000000"/>
                      <w:sz w:val="20"/>
                      <w:szCs w:val="20"/>
                    </w:rPr>
                    <w:t>The CSS pre-assigns these groups through cooperative efforts with the primary marking agency</w:t>
                  </w:r>
                  <w:r w:rsidR="003863F0">
                    <w:rPr>
                      <w:color w:val="000000"/>
                      <w:sz w:val="20"/>
                      <w:szCs w:val="20"/>
                    </w:rPr>
                    <w:t>.</w:t>
                  </w:r>
                </w:p>
                <w:p w:rsidR="003863F0" w:rsidRPr="00CA458C" w:rsidRDefault="003863F0" w:rsidP="003863F0">
                  <w:pPr>
                    <w:rPr>
                      <w:color w:val="000000"/>
                      <w:sz w:val="20"/>
                      <w:szCs w:val="20"/>
                    </w:rPr>
                  </w:pPr>
                  <w:r w:rsidRPr="00CA458C">
                    <w:rPr>
                      <w:color w:val="000000"/>
                      <w:sz w:val="20"/>
                      <w:szCs w:val="20"/>
                    </w:rPr>
                    <w:t>** Pre-assigned by NPT</w:t>
                  </w:r>
                  <w:r>
                    <w:rPr>
                      <w:color w:val="000000"/>
                      <w:sz w:val="20"/>
                      <w:szCs w:val="20"/>
                    </w:rPr>
                    <w:t>.</w:t>
                  </w:r>
                  <w:r w:rsidR="00DE5956">
                    <w:rPr>
                      <w:color w:val="000000"/>
                      <w:sz w:val="20"/>
                      <w:szCs w:val="20"/>
                    </w:rPr>
                    <w:t xml:space="preserve">   ● </w:t>
                  </w:r>
                  <w:r w:rsidRPr="00CA458C">
                    <w:rPr>
                      <w:color w:val="000000"/>
                      <w:sz w:val="20"/>
                      <w:szCs w:val="20"/>
                    </w:rPr>
                    <w:t>Pre-assigned by COE</w:t>
                  </w:r>
                  <w:r>
                    <w:rPr>
                      <w:color w:val="000000"/>
                      <w:sz w:val="20"/>
                      <w:szCs w:val="20"/>
                    </w:rPr>
                    <w:t>.</w:t>
                  </w:r>
                </w:p>
              </w:tc>
            </w:tr>
            <w:tr w:rsidR="003863F0" w:rsidTr="003863F0">
              <w:trPr>
                <w:trHeight w:val="633"/>
              </w:trPr>
              <w:tc>
                <w:tcPr>
                  <w:tcW w:w="9220" w:type="dxa"/>
                  <w:gridSpan w:val="10"/>
                  <w:tcBorders>
                    <w:top w:val="nil"/>
                    <w:left w:val="nil"/>
                    <w:bottom w:val="nil"/>
                    <w:right w:val="nil"/>
                  </w:tcBorders>
                  <w:shd w:val="clear" w:color="auto" w:fill="auto"/>
                  <w:tcMar>
                    <w:top w:w="15" w:type="dxa"/>
                    <w:left w:w="15" w:type="dxa"/>
                    <w:bottom w:w="0" w:type="dxa"/>
                    <w:right w:w="15" w:type="dxa"/>
                  </w:tcMar>
                  <w:vAlign w:val="bottom"/>
                </w:tcPr>
                <w:p w:rsidR="003863F0" w:rsidRPr="00CA458C" w:rsidRDefault="003863F0" w:rsidP="00DE5956">
                  <w:pPr>
                    <w:rPr>
                      <w:sz w:val="20"/>
                      <w:szCs w:val="20"/>
                    </w:rPr>
                  </w:pPr>
                  <w:r w:rsidRPr="00CA458C">
                    <w:rPr>
                      <w:sz w:val="20"/>
                      <w:szCs w:val="20"/>
                      <w:vertAlign w:val="superscript"/>
                    </w:rPr>
                    <w:t>1</w:t>
                  </w:r>
                  <w:r w:rsidRPr="00CA458C">
                    <w:rPr>
                      <w:sz w:val="20"/>
                      <w:szCs w:val="20"/>
                    </w:rPr>
                    <w:t xml:space="preserve"> Agencies are: Confederated Tribes of the Umatilla Indian Reservation (CTUIR), Shoshone-Bannock Tribes (SBT), Nez Perce Tribe (NPT), Oregon Department of Fish and Wildlife (ODFW), Corps of Engineers (COE), U.S. Fish and Wildlife Service (USFWS), Yakima Indian Nation (YINN), and </w:t>
                  </w:r>
                  <w:proofErr w:type="spellStart"/>
                  <w:r w:rsidRPr="00CA458C">
                    <w:rPr>
                      <w:sz w:val="20"/>
                      <w:szCs w:val="20"/>
                    </w:rPr>
                    <w:t>Smolt</w:t>
                  </w:r>
                  <w:proofErr w:type="spellEnd"/>
                  <w:r w:rsidRPr="00CA458C">
                    <w:rPr>
                      <w:sz w:val="20"/>
                      <w:szCs w:val="20"/>
                    </w:rPr>
                    <w:t xml:space="preserve"> Monitoring Program (SMP).  Ch = wild </w:t>
                  </w:r>
                  <w:r w:rsidR="00DE5956">
                    <w:rPr>
                      <w:sz w:val="20"/>
                      <w:szCs w:val="20"/>
                    </w:rPr>
                    <w:t>Chinook and St = wild steelhead.  At some locations the a</w:t>
                  </w:r>
                  <w:r w:rsidRPr="00CA458C">
                    <w:rPr>
                      <w:sz w:val="20"/>
                      <w:szCs w:val="20"/>
                    </w:rPr>
                    <w:t>ctual numbers</w:t>
                  </w:r>
                  <w:r w:rsidR="00DE5956">
                    <w:rPr>
                      <w:sz w:val="20"/>
                      <w:szCs w:val="20"/>
                    </w:rPr>
                    <w:t xml:space="preserve"> of fish</w:t>
                  </w:r>
                  <w:r w:rsidRPr="00CA458C">
                    <w:rPr>
                      <w:sz w:val="20"/>
                      <w:szCs w:val="20"/>
                    </w:rPr>
                    <w:t xml:space="preserve"> captured and tagged by species </w:t>
                  </w:r>
                  <w:r>
                    <w:rPr>
                      <w:sz w:val="20"/>
                      <w:szCs w:val="20"/>
                    </w:rPr>
                    <w:t>are</w:t>
                  </w:r>
                  <w:r w:rsidRPr="00CA458C">
                    <w:rPr>
                      <w:sz w:val="20"/>
                      <w:szCs w:val="20"/>
                    </w:rPr>
                    <w:t xml:space="preserve"> not known until after the outmigration is complete.</w:t>
                  </w:r>
                </w:p>
              </w:tc>
            </w:tr>
          </w:tbl>
          <w:p w:rsidR="003863F0" w:rsidRPr="008B51E9" w:rsidRDefault="003863F0" w:rsidP="003863F0">
            <w:pPr>
              <w:rPr>
                <w:color w:val="000000"/>
                <w:sz w:val="20"/>
                <w:szCs w:val="20"/>
              </w:rPr>
            </w:pPr>
          </w:p>
        </w:tc>
      </w:tr>
    </w:tbl>
    <w:p w:rsidR="00BC378F" w:rsidRPr="00A610B3" w:rsidRDefault="00BC378F" w:rsidP="008A3DC1"/>
    <w:p w:rsidR="002F4404" w:rsidRPr="002F4404" w:rsidRDefault="002F4404" w:rsidP="008A3DC1">
      <w:pPr>
        <w:rPr>
          <w:color w:val="FF0000"/>
          <w:sz w:val="12"/>
        </w:rPr>
      </w:pPr>
      <w:bookmarkStart w:id="0" w:name="Tagg"/>
      <w:r w:rsidRPr="002F4404">
        <w:rPr>
          <w:color w:val="FF0000"/>
          <w:sz w:val="12"/>
        </w:rPr>
        <w:t>________________________________________</w:t>
      </w:r>
    </w:p>
    <w:p w:rsidR="002F4404" w:rsidRPr="002F4404" w:rsidRDefault="002F4404" w:rsidP="008A3DC1">
      <w:pPr>
        <w:rPr>
          <w:color w:val="FF0000"/>
          <w:sz w:val="12"/>
        </w:rPr>
      </w:pPr>
    </w:p>
    <w:p w:rsidR="00815B5A" w:rsidRPr="002F4404" w:rsidRDefault="002F4404" w:rsidP="008A3DC1">
      <w:pPr>
        <w:rPr>
          <w:color w:val="FF0000"/>
          <w:sz w:val="12"/>
        </w:rPr>
      </w:pPr>
      <w:r w:rsidRPr="002F4404">
        <w:rPr>
          <w:color w:val="FF0000"/>
          <w:sz w:val="12"/>
        </w:rPr>
        <w:t xml:space="preserve">w:\jr\ww\2011 </w:t>
      </w:r>
      <w:proofErr w:type="spellStart"/>
      <w:r w:rsidRPr="002F4404">
        <w:rPr>
          <w:color w:val="FF0000"/>
          <w:sz w:val="12"/>
        </w:rPr>
        <w:t>rme</w:t>
      </w:r>
      <w:proofErr w:type="spellEnd"/>
      <w:r w:rsidRPr="002F4404">
        <w:rPr>
          <w:color w:val="FF0000"/>
          <w:sz w:val="12"/>
        </w:rPr>
        <w:t xml:space="preserve"> review\pit-tag issue paper.docx</w:t>
      </w:r>
      <w:bookmarkEnd w:id="0"/>
    </w:p>
    <w:sectPr w:rsidR="00815B5A" w:rsidRPr="002F4404" w:rsidSect="004A6628">
      <w:headerReference w:type="default" r:id="rId9"/>
      <w:footerReference w:type="default" r:id="rId10"/>
      <w:pgSz w:w="12240" w:h="15840"/>
      <w:pgMar w:top="1440" w:right="1080" w:bottom="1440" w:left="108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956" w:rsidRDefault="00DE5956" w:rsidP="004A46D4">
      <w:r>
        <w:separator/>
      </w:r>
    </w:p>
  </w:endnote>
  <w:endnote w:type="continuationSeparator" w:id="0">
    <w:p w:rsidR="00DE5956" w:rsidRDefault="00DE5956"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090142"/>
      <w:docPartObj>
        <w:docPartGallery w:val="Page Numbers (Bottom of Page)"/>
        <w:docPartUnique/>
      </w:docPartObj>
    </w:sdtPr>
    <w:sdtContent>
      <w:p w:rsidR="00DE5956" w:rsidRDefault="00DE5956">
        <w:pPr>
          <w:pStyle w:val="Footer"/>
          <w:jc w:val="center"/>
        </w:pPr>
        <w:fldSimple w:instr=" PAGE   \* MERGEFORMAT ">
          <w:r w:rsidR="0082114A">
            <w:rPr>
              <w:noProof/>
            </w:rPr>
            <w:t>1</w:t>
          </w:r>
        </w:fldSimple>
      </w:p>
    </w:sdtContent>
  </w:sdt>
  <w:p w:rsidR="00DE5956" w:rsidRDefault="00DE59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956" w:rsidRDefault="00DE5956" w:rsidP="004A46D4">
      <w:r>
        <w:separator/>
      </w:r>
    </w:p>
  </w:footnote>
  <w:footnote w:type="continuationSeparator" w:id="0">
    <w:p w:rsidR="00DE5956" w:rsidRDefault="00DE5956" w:rsidP="004A46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956" w:rsidRPr="00B23735" w:rsidRDefault="00DE5956" w:rsidP="00B23735">
    <w:pPr>
      <w:pStyle w:val="Header"/>
      <w:jc w:val="center"/>
      <w:rPr>
        <w:i/>
      </w:rPr>
    </w:pPr>
    <w:r>
      <w:rPr>
        <w:i/>
      </w:rPr>
      <w:t xml:space="preserve">Draft 2/18/11 -- </w:t>
    </w:r>
    <w:proofErr w:type="spellStart"/>
    <w:r w:rsidRPr="00B23735">
      <w:rPr>
        <w:i/>
      </w:rPr>
      <w:t>Predecisional</w:t>
    </w:r>
    <w:proofErr w:type="spellEnd"/>
    <w:r w:rsidRPr="00B23735">
      <w:rPr>
        <w:i/>
      </w:rPr>
      <w:t xml:space="preserve"> and part of a deli</w:t>
    </w:r>
    <w:r>
      <w:rPr>
        <w:i/>
      </w:rPr>
      <w:t xml:space="preserve">berative process – For </w:t>
    </w:r>
    <w:r w:rsidRPr="00B23735">
      <w:rPr>
        <w:i/>
      </w:rPr>
      <w:t xml:space="preserve">discussion </w:t>
    </w:r>
    <w:r>
      <w:rPr>
        <w:i/>
      </w:rPr>
      <w:t xml:space="preserve">purposes </w:t>
    </w:r>
    <w:r w:rsidRPr="00B23735">
      <w:rPr>
        <w:i/>
      </w:rPr>
      <w:t>only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340C7"/>
    <w:multiLevelType w:val="hybridMultilevel"/>
    <w:tmpl w:val="ADA4F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D46CB9"/>
    <w:multiLevelType w:val="hybridMultilevel"/>
    <w:tmpl w:val="69CE88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027D03"/>
    <w:multiLevelType w:val="hybridMultilevel"/>
    <w:tmpl w:val="4BE27A44"/>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F002AAD"/>
    <w:multiLevelType w:val="hybridMultilevel"/>
    <w:tmpl w:val="F844E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1A2467"/>
    <w:multiLevelType w:val="hybridMultilevel"/>
    <w:tmpl w:val="44109B50"/>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FE2649"/>
    <w:multiLevelType w:val="hybridMultilevel"/>
    <w:tmpl w:val="495CC266"/>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6212DC"/>
    <w:multiLevelType w:val="hybridMultilevel"/>
    <w:tmpl w:val="D15A2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C07A12"/>
    <w:multiLevelType w:val="hybridMultilevel"/>
    <w:tmpl w:val="A9F23ECC"/>
    <w:lvl w:ilvl="0" w:tplc="C83C5FF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2A06C6"/>
    <w:multiLevelType w:val="hybridMultilevel"/>
    <w:tmpl w:val="178C973E"/>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0A697D"/>
    <w:multiLevelType w:val="hybridMultilevel"/>
    <w:tmpl w:val="BA20F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321970"/>
    <w:multiLevelType w:val="hybridMultilevel"/>
    <w:tmpl w:val="39922474"/>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3"/>
  </w:num>
  <w:num w:numId="4">
    <w:abstractNumId w:val="11"/>
  </w:num>
  <w:num w:numId="5">
    <w:abstractNumId w:val="6"/>
  </w:num>
  <w:num w:numId="6">
    <w:abstractNumId w:val="4"/>
  </w:num>
  <w:num w:numId="7">
    <w:abstractNumId w:val="7"/>
  </w:num>
  <w:num w:numId="8">
    <w:abstractNumId w:val="0"/>
  </w:num>
  <w:num w:numId="9">
    <w:abstractNumId w:val="5"/>
  </w:num>
  <w:num w:numId="10">
    <w:abstractNumId w:val="9"/>
  </w:num>
  <w:num w:numId="11">
    <w:abstractNumId w:val="12"/>
  </w:num>
  <w:num w:numId="12">
    <w:abstractNumId w:val="2"/>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12D4C"/>
    <w:rsid w:val="0001778E"/>
    <w:rsid w:val="00060F5D"/>
    <w:rsid w:val="000711E0"/>
    <w:rsid w:val="00076042"/>
    <w:rsid w:val="00080201"/>
    <w:rsid w:val="000A4C9A"/>
    <w:rsid w:val="000B62BD"/>
    <w:rsid w:val="001050C5"/>
    <w:rsid w:val="00116C51"/>
    <w:rsid w:val="0012705D"/>
    <w:rsid w:val="00150FD2"/>
    <w:rsid w:val="00160DC9"/>
    <w:rsid w:val="00167373"/>
    <w:rsid w:val="00174776"/>
    <w:rsid w:val="0018622C"/>
    <w:rsid w:val="001C2F9B"/>
    <w:rsid w:val="00201239"/>
    <w:rsid w:val="00203929"/>
    <w:rsid w:val="00205BBA"/>
    <w:rsid w:val="002067FD"/>
    <w:rsid w:val="00230180"/>
    <w:rsid w:val="002628F5"/>
    <w:rsid w:val="002672DF"/>
    <w:rsid w:val="00280E35"/>
    <w:rsid w:val="00284EC4"/>
    <w:rsid w:val="00286D32"/>
    <w:rsid w:val="002F266D"/>
    <w:rsid w:val="002F4404"/>
    <w:rsid w:val="00314C4A"/>
    <w:rsid w:val="00334F6E"/>
    <w:rsid w:val="003522AE"/>
    <w:rsid w:val="003863F0"/>
    <w:rsid w:val="003B2D8C"/>
    <w:rsid w:val="003C0401"/>
    <w:rsid w:val="003C2675"/>
    <w:rsid w:val="003F5B5A"/>
    <w:rsid w:val="00406A78"/>
    <w:rsid w:val="0040788B"/>
    <w:rsid w:val="00412955"/>
    <w:rsid w:val="00415C2B"/>
    <w:rsid w:val="00425D96"/>
    <w:rsid w:val="0043145F"/>
    <w:rsid w:val="00442F78"/>
    <w:rsid w:val="00465B39"/>
    <w:rsid w:val="004A30FD"/>
    <w:rsid w:val="004A46D4"/>
    <w:rsid w:val="004A6628"/>
    <w:rsid w:val="004F0AED"/>
    <w:rsid w:val="004F14C2"/>
    <w:rsid w:val="00513A81"/>
    <w:rsid w:val="00517247"/>
    <w:rsid w:val="0052496A"/>
    <w:rsid w:val="005254AF"/>
    <w:rsid w:val="00526511"/>
    <w:rsid w:val="005446F4"/>
    <w:rsid w:val="00563D2B"/>
    <w:rsid w:val="00572FAF"/>
    <w:rsid w:val="00590B62"/>
    <w:rsid w:val="005B2095"/>
    <w:rsid w:val="005B5D72"/>
    <w:rsid w:val="005D093B"/>
    <w:rsid w:val="005D1EE2"/>
    <w:rsid w:val="005E4949"/>
    <w:rsid w:val="00610781"/>
    <w:rsid w:val="006211B6"/>
    <w:rsid w:val="00621686"/>
    <w:rsid w:val="006362A6"/>
    <w:rsid w:val="00643FE7"/>
    <w:rsid w:val="00645323"/>
    <w:rsid w:val="0065410A"/>
    <w:rsid w:val="00667485"/>
    <w:rsid w:val="0067380C"/>
    <w:rsid w:val="0067730A"/>
    <w:rsid w:val="006C4552"/>
    <w:rsid w:val="006E5975"/>
    <w:rsid w:val="006E7356"/>
    <w:rsid w:val="006F4D25"/>
    <w:rsid w:val="0071159E"/>
    <w:rsid w:val="00777752"/>
    <w:rsid w:val="00781572"/>
    <w:rsid w:val="00795DBF"/>
    <w:rsid w:val="00797946"/>
    <w:rsid w:val="007A5EAE"/>
    <w:rsid w:val="007B2B0B"/>
    <w:rsid w:val="007D35F1"/>
    <w:rsid w:val="007D6AA4"/>
    <w:rsid w:val="008031FD"/>
    <w:rsid w:val="008053CB"/>
    <w:rsid w:val="00815B5A"/>
    <w:rsid w:val="0082114A"/>
    <w:rsid w:val="00827BC7"/>
    <w:rsid w:val="008337AB"/>
    <w:rsid w:val="00860A2C"/>
    <w:rsid w:val="00861ACD"/>
    <w:rsid w:val="00871AA0"/>
    <w:rsid w:val="00884084"/>
    <w:rsid w:val="008A3DC1"/>
    <w:rsid w:val="008A5070"/>
    <w:rsid w:val="008A6339"/>
    <w:rsid w:val="008B5791"/>
    <w:rsid w:val="008B6D73"/>
    <w:rsid w:val="008D2DF1"/>
    <w:rsid w:val="008E76BF"/>
    <w:rsid w:val="00910919"/>
    <w:rsid w:val="00951976"/>
    <w:rsid w:val="00962E63"/>
    <w:rsid w:val="009634F0"/>
    <w:rsid w:val="009A1AC0"/>
    <w:rsid w:val="009A7451"/>
    <w:rsid w:val="009D234C"/>
    <w:rsid w:val="009F3237"/>
    <w:rsid w:val="009F48EF"/>
    <w:rsid w:val="00A064ED"/>
    <w:rsid w:val="00A41C5B"/>
    <w:rsid w:val="00A610B3"/>
    <w:rsid w:val="00A6250B"/>
    <w:rsid w:val="00A842B6"/>
    <w:rsid w:val="00AA1263"/>
    <w:rsid w:val="00AA1280"/>
    <w:rsid w:val="00AB321A"/>
    <w:rsid w:val="00AC2156"/>
    <w:rsid w:val="00AD0B99"/>
    <w:rsid w:val="00AD2AF1"/>
    <w:rsid w:val="00AD764B"/>
    <w:rsid w:val="00AE4F56"/>
    <w:rsid w:val="00AE6F69"/>
    <w:rsid w:val="00AF5427"/>
    <w:rsid w:val="00AF7B1F"/>
    <w:rsid w:val="00B23735"/>
    <w:rsid w:val="00B36733"/>
    <w:rsid w:val="00B3736E"/>
    <w:rsid w:val="00B42F46"/>
    <w:rsid w:val="00B434EB"/>
    <w:rsid w:val="00B67402"/>
    <w:rsid w:val="00B76BBE"/>
    <w:rsid w:val="00B91403"/>
    <w:rsid w:val="00BB28C9"/>
    <w:rsid w:val="00BC0A05"/>
    <w:rsid w:val="00BC378F"/>
    <w:rsid w:val="00BD3C06"/>
    <w:rsid w:val="00BF1078"/>
    <w:rsid w:val="00C04467"/>
    <w:rsid w:val="00C05EE0"/>
    <w:rsid w:val="00C06E10"/>
    <w:rsid w:val="00C61255"/>
    <w:rsid w:val="00CB66EF"/>
    <w:rsid w:val="00CC4C23"/>
    <w:rsid w:val="00CE34E8"/>
    <w:rsid w:val="00CE3659"/>
    <w:rsid w:val="00CF4F76"/>
    <w:rsid w:val="00D05396"/>
    <w:rsid w:val="00D17856"/>
    <w:rsid w:val="00D3365A"/>
    <w:rsid w:val="00D531F5"/>
    <w:rsid w:val="00D73213"/>
    <w:rsid w:val="00DA77AA"/>
    <w:rsid w:val="00DB3987"/>
    <w:rsid w:val="00DD23CD"/>
    <w:rsid w:val="00DD5B40"/>
    <w:rsid w:val="00DE5956"/>
    <w:rsid w:val="00DF082A"/>
    <w:rsid w:val="00DF5509"/>
    <w:rsid w:val="00DF70A7"/>
    <w:rsid w:val="00E23776"/>
    <w:rsid w:val="00E34CF8"/>
    <w:rsid w:val="00E36B61"/>
    <w:rsid w:val="00E41225"/>
    <w:rsid w:val="00E61CF9"/>
    <w:rsid w:val="00E63088"/>
    <w:rsid w:val="00E672B1"/>
    <w:rsid w:val="00E818F0"/>
    <w:rsid w:val="00E85389"/>
    <w:rsid w:val="00E95E49"/>
    <w:rsid w:val="00EA1B7D"/>
    <w:rsid w:val="00EA24B3"/>
    <w:rsid w:val="00EB3866"/>
    <w:rsid w:val="00EB473A"/>
    <w:rsid w:val="00EC1338"/>
    <w:rsid w:val="00ED5B7C"/>
    <w:rsid w:val="00F15A76"/>
    <w:rsid w:val="00F16BC0"/>
    <w:rsid w:val="00F20341"/>
    <w:rsid w:val="00F31636"/>
    <w:rsid w:val="00F672DC"/>
    <w:rsid w:val="00F8215D"/>
    <w:rsid w:val="00F92E17"/>
    <w:rsid w:val="00F93939"/>
    <w:rsid w:val="00F9455E"/>
    <w:rsid w:val="00FB1FBD"/>
    <w:rsid w:val="00FB27CE"/>
    <w:rsid w:val="00FB3713"/>
    <w:rsid w:val="00FB3B6C"/>
    <w:rsid w:val="00FC2DAF"/>
    <w:rsid w:val="00FD76FB"/>
    <w:rsid w:val="00FE4E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uiPriority w:val="99"/>
    <w:rsid w:val="00643FE7"/>
    <w:pPr>
      <w:tabs>
        <w:tab w:val="center" w:pos="4680"/>
        <w:tab w:val="right" w:pos="9360"/>
      </w:tabs>
    </w:pPr>
  </w:style>
  <w:style w:type="character" w:customStyle="1" w:styleId="FooterChar">
    <w:name w:val="Footer Char"/>
    <w:basedOn w:val="DefaultParagraphFont"/>
    <w:link w:val="Footer"/>
    <w:uiPriority w:val="99"/>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 w:type="character" w:customStyle="1" w:styleId="noprint">
    <w:name w:val="noprint"/>
    <w:basedOn w:val="DefaultParagraphFont"/>
    <w:rsid w:val="003B2D8C"/>
  </w:style>
  <w:style w:type="paragraph" w:styleId="NormalWeb">
    <w:name w:val="Normal (Web)"/>
    <w:basedOn w:val="Normal"/>
    <w:uiPriority w:val="99"/>
    <w:unhideWhenUsed/>
    <w:rsid w:val="00D3365A"/>
    <w:pPr>
      <w:spacing w:before="100" w:beforeAutospacing="1" w:after="100" w:afterAutospacing="1"/>
    </w:pPr>
  </w:style>
  <w:style w:type="paragraph" w:customStyle="1" w:styleId="Tablecaption">
    <w:name w:val="_Table caption"/>
    <w:basedOn w:val="Normal"/>
    <w:link w:val="TablecaptionCharChar"/>
    <w:rsid w:val="003863F0"/>
    <w:pPr>
      <w:framePr w:wrap="around" w:vAnchor="text" w:hAnchor="text" w:y="1"/>
      <w:spacing w:before="120"/>
    </w:pPr>
    <w:rPr>
      <w:b/>
      <w:sz w:val="20"/>
      <w:szCs w:val="20"/>
    </w:rPr>
  </w:style>
  <w:style w:type="character" w:customStyle="1" w:styleId="TablecaptionCharChar">
    <w:name w:val="_Table caption Char Char"/>
    <w:basedOn w:val="DefaultParagraphFont"/>
    <w:link w:val="Tablecaption"/>
    <w:rsid w:val="003863F0"/>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rsid w:val="00643FE7"/>
    <w:pPr>
      <w:tabs>
        <w:tab w:val="center" w:pos="4680"/>
        <w:tab w:val="right" w:pos="9360"/>
      </w:tabs>
    </w:pPr>
  </w:style>
  <w:style w:type="character" w:customStyle="1" w:styleId="FooterChar">
    <w:name w:val="Footer Char"/>
    <w:basedOn w:val="DefaultParagraphFont"/>
    <w:link w:val="Footer"/>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1023676316">
      <w:bodyDiv w:val="1"/>
      <w:marLeft w:val="100"/>
      <w:marRight w:val="100"/>
      <w:marTop w:val="100"/>
      <w:marBottom w:val="100"/>
      <w:divBdr>
        <w:top w:val="none" w:sz="0" w:space="0" w:color="auto"/>
        <w:left w:val="none" w:sz="0" w:space="0" w:color="auto"/>
        <w:bottom w:val="none" w:sz="0" w:space="0" w:color="auto"/>
        <w:right w:val="none" w:sz="0" w:space="0" w:color="auto"/>
      </w:divBdr>
      <w:divsChild>
        <w:div w:id="659581000">
          <w:marLeft w:val="0"/>
          <w:marRight w:val="0"/>
          <w:marTop w:val="0"/>
          <w:marBottom w:val="0"/>
          <w:divBdr>
            <w:top w:val="none" w:sz="0" w:space="0" w:color="auto"/>
            <w:left w:val="none" w:sz="0" w:space="0" w:color="auto"/>
            <w:bottom w:val="none" w:sz="0" w:space="0" w:color="auto"/>
            <w:right w:val="none" w:sz="0" w:space="0" w:color="auto"/>
          </w:divBdr>
        </w:div>
      </w:divsChild>
    </w:div>
    <w:div w:id="127744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1285</TotalTime>
  <Pages>10</Pages>
  <Words>3586</Words>
  <Characters>20870</Characters>
  <Application>Microsoft Office Word</Application>
  <DocSecurity>0</DocSecurity>
  <Lines>869</Lines>
  <Paragraphs>436</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24020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Palensky</dc:creator>
  <cp:lastModifiedBy>Jim Ruff</cp:lastModifiedBy>
  <cp:revision>49</cp:revision>
  <cp:lastPrinted>2011-01-27T22:16:00Z</cp:lastPrinted>
  <dcterms:created xsi:type="dcterms:W3CDTF">2011-01-26T17:03:00Z</dcterms:created>
  <dcterms:modified xsi:type="dcterms:W3CDTF">2011-02-18T19:12:00Z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390881359</vt:i4>
  </property>
  <property fmtid="{D5CDD505-2E9C-101B-9397-08002B2CF9AE}" pid="4" name="_EmailSubject">
    <vt:lpwstr>For February 25th F&amp;W meeting - Agenda, Topic Papers, List of A &amp; B projects</vt:lpwstr>
  </property>
  <property fmtid="{D5CDD505-2E9C-101B-9397-08002B2CF9AE}" pid="5" name="_AuthorEmail">
    <vt:lpwstr>tgrover@nwcouncil.org</vt:lpwstr>
  </property>
  <property fmtid="{D5CDD505-2E9C-101B-9397-08002B2CF9AE}" pid="6" name="_AuthorEmailDisplayName">
    <vt:lpwstr>Grover, Tony</vt:lpwstr>
  </property>
</Properties>
</file>