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B3" w:rsidRPr="00F24F56" w:rsidRDefault="001756B3" w:rsidP="001756B3">
      <w:pPr>
        <w:rPr>
          <w:b/>
          <w:sz w:val="24"/>
          <w:szCs w:val="24"/>
          <w:lang w:val="en"/>
        </w:rPr>
      </w:pPr>
      <w:bookmarkStart w:id="0" w:name="_GoBack"/>
      <w:bookmarkEnd w:id="0"/>
      <w:r w:rsidRPr="00F24F56">
        <w:rPr>
          <w:b/>
          <w:sz w:val="24"/>
          <w:szCs w:val="24"/>
          <w:lang w:val="en"/>
        </w:rPr>
        <w:t xml:space="preserve">Proposed RTF Measure:  </w:t>
      </w:r>
      <w:r>
        <w:rPr>
          <w:b/>
          <w:sz w:val="24"/>
          <w:szCs w:val="24"/>
          <w:lang w:val="en"/>
        </w:rPr>
        <w:t>Floating Controls on Multiplex Refrigeration System</w:t>
      </w:r>
    </w:p>
    <w:p w:rsidR="008F5EB9" w:rsidRPr="008F5EB9" w:rsidRDefault="008F5EB9" w:rsidP="008F5EB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1. </w:t>
      </w:r>
      <w:r w:rsidRPr="008F5EB9">
        <w:rPr>
          <w:rFonts w:ascii="Times New Roman" w:eastAsia="Times New Roman" w:hAnsi="Times New Roman" w:cs="Times New Roman"/>
          <w:sz w:val="24"/>
          <w:szCs w:val="24"/>
          <w:lang w:val="en"/>
        </w:rPr>
        <w:t>Proposed measure type:</w:t>
      </w:r>
      <w:r>
        <w:rPr>
          <w:rFonts w:ascii="Times New Roman" w:eastAsia="Times New Roman" w:hAnsi="Times New Roman" w:cs="Times New Roman"/>
          <w:sz w:val="24"/>
          <w:szCs w:val="24"/>
          <w:lang w:val="en"/>
        </w:rPr>
        <w:t xml:space="preserve"> (UES Measure or Standard Protocol)</w:t>
      </w:r>
      <w:r w:rsidRPr="008F5EB9">
        <w:rPr>
          <w:rFonts w:ascii="Times New Roman" w:eastAsia="Times New Roman" w:hAnsi="Times New Roman" w:cs="Times New Roman"/>
          <w:sz w:val="24"/>
          <w:szCs w:val="24"/>
          <w:lang w:val="en"/>
        </w:rPr>
        <w:t xml:space="preserve"> </w:t>
      </w:r>
    </w:p>
    <w:p w:rsidR="008F5EB9" w:rsidRDefault="00233B58" w:rsidP="004F6C38">
      <w:pPr>
        <w:pStyle w:val="NoSpacing"/>
        <w:rPr>
          <w:lang w:val="en"/>
        </w:rPr>
      </w:pPr>
      <w:r>
        <w:rPr>
          <w:lang w:val="en"/>
        </w:rPr>
        <w:t>UES</w:t>
      </w:r>
    </w:p>
    <w:p w:rsidR="008F5EB9" w:rsidRDefault="008F5EB9" w:rsidP="008F5EB9">
      <w:pPr>
        <w:spacing w:after="0" w:line="240" w:lineRule="auto"/>
        <w:rPr>
          <w:rFonts w:ascii="Times New Roman" w:eastAsia="Times New Roman" w:hAnsi="Times New Roman" w:cs="Times New Roman"/>
          <w:sz w:val="24"/>
          <w:szCs w:val="24"/>
          <w:lang w:val="en"/>
        </w:rPr>
      </w:pPr>
    </w:p>
    <w:p w:rsidR="008F5EB9" w:rsidRDefault="008F5EB9" w:rsidP="008F5EB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2. Title: </w:t>
      </w:r>
    </w:p>
    <w:p w:rsidR="008F5EB9" w:rsidRPr="004F6C38" w:rsidRDefault="001756B3" w:rsidP="004F6C38">
      <w:pPr>
        <w:pStyle w:val="NoSpacing"/>
        <w:rPr>
          <w:b/>
          <w:lang w:val="en"/>
        </w:rPr>
      </w:pPr>
      <w:r>
        <w:rPr>
          <w:b/>
          <w:lang w:val="en"/>
        </w:rPr>
        <w:t>Floating</w:t>
      </w:r>
      <w:r w:rsidR="004A37CE" w:rsidRPr="004F6C38">
        <w:rPr>
          <w:b/>
          <w:lang w:val="en"/>
        </w:rPr>
        <w:t xml:space="preserve"> control</w:t>
      </w:r>
      <w:r>
        <w:rPr>
          <w:b/>
          <w:lang w:val="en"/>
        </w:rPr>
        <w:t>s</w:t>
      </w:r>
      <w:r w:rsidR="004A37CE" w:rsidRPr="004F6C38">
        <w:rPr>
          <w:b/>
          <w:lang w:val="en"/>
        </w:rPr>
        <w:t xml:space="preserve"> for multiplex </w:t>
      </w:r>
      <w:r>
        <w:rPr>
          <w:b/>
          <w:lang w:val="en"/>
        </w:rPr>
        <w:t xml:space="preserve">refrigeration </w:t>
      </w:r>
      <w:r w:rsidR="004A37CE" w:rsidRPr="004F6C38">
        <w:rPr>
          <w:b/>
          <w:lang w:val="en"/>
        </w:rPr>
        <w:t>system</w:t>
      </w:r>
    </w:p>
    <w:p w:rsidR="008F5EB9" w:rsidRPr="008F5EB9" w:rsidRDefault="008F5EB9" w:rsidP="008F5EB9">
      <w:pPr>
        <w:spacing w:after="0" w:line="240" w:lineRule="auto"/>
        <w:rPr>
          <w:rFonts w:ascii="Times New Roman" w:eastAsia="Times New Roman" w:hAnsi="Times New Roman" w:cs="Times New Roman"/>
          <w:sz w:val="24"/>
          <w:szCs w:val="24"/>
          <w:lang w:val="en"/>
        </w:rPr>
      </w:pPr>
    </w:p>
    <w:p w:rsidR="008F5EB9" w:rsidRPr="008F5EB9" w:rsidRDefault="008F5EB9" w:rsidP="00FC0358">
      <w:pPr>
        <w:pStyle w:val="NoSpacing"/>
        <w:rPr>
          <w:lang w:val="en"/>
        </w:rPr>
      </w:pPr>
      <w:r>
        <w:rPr>
          <w:lang w:val="en"/>
        </w:rPr>
        <w:t xml:space="preserve">3.  </w:t>
      </w:r>
      <w:r w:rsidRPr="008F5EB9">
        <w:rPr>
          <w:lang w:val="en"/>
        </w:rPr>
        <w:t xml:space="preserve">Proposed category: </w:t>
      </w:r>
      <w:r>
        <w:rPr>
          <w:lang w:val="en"/>
        </w:rPr>
        <w:t xml:space="preserve"> (Planning, Proven or Small Saver)</w:t>
      </w:r>
    </w:p>
    <w:p w:rsidR="008F5EB9" w:rsidRDefault="001756B3" w:rsidP="00FC0358">
      <w:pPr>
        <w:pStyle w:val="NoSpacing"/>
        <w:rPr>
          <w:lang w:val="en"/>
        </w:rPr>
      </w:pPr>
      <w:r>
        <w:rPr>
          <w:lang w:val="en"/>
        </w:rPr>
        <w:t>__</w:t>
      </w:r>
    </w:p>
    <w:p w:rsidR="008F5EB9" w:rsidRPr="008F5EB9" w:rsidRDefault="008F5EB9" w:rsidP="00FC0358">
      <w:pPr>
        <w:pStyle w:val="NoSpacing"/>
        <w:rPr>
          <w:lang w:val="en"/>
        </w:rPr>
      </w:pPr>
    </w:p>
    <w:p w:rsidR="008F5EB9" w:rsidRDefault="008F5EB9" w:rsidP="00FC0358">
      <w:pPr>
        <w:pStyle w:val="NoSpacing"/>
        <w:rPr>
          <w:lang w:val="en"/>
        </w:rPr>
      </w:pPr>
      <w:r>
        <w:rPr>
          <w:lang w:val="en"/>
        </w:rPr>
        <w:t xml:space="preserve">4. </w:t>
      </w:r>
      <w:r w:rsidRPr="008F5EB9">
        <w:rPr>
          <w:lang w:val="en"/>
        </w:rPr>
        <w:t xml:space="preserve">Description: </w:t>
      </w:r>
    </w:p>
    <w:p w:rsidR="001B5AB4" w:rsidRDefault="00633FDD" w:rsidP="00FC0358">
      <w:pPr>
        <w:pStyle w:val="NoSpacing"/>
      </w:pPr>
      <w:r>
        <w:t xml:space="preserve">In this measure, floating head pressure controls are implemented for an existing multiplex system. </w:t>
      </w:r>
      <w:r w:rsidR="00BD6897">
        <w:t>We proposed two tiers.  Tier 1 is “Fixed to Standard FHPC”.  Tier 2 is “Standard to Advanced FHPC”.</w:t>
      </w:r>
    </w:p>
    <w:p w:rsidR="00633FDD" w:rsidRDefault="00633FDD" w:rsidP="00FC0358">
      <w:pPr>
        <w:pStyle w:val="NoSpacing"/>
        <w:rPr>
          <w:lang w:val="en"/>
        </w:rPr>
      </w:pPr>
    </w:p>
    <w:p w:rsidR="00BD6897" w:rsidRDefault="00BD6897" w:rsidP="00BD6897">
      <w:pPr>
        <w:pStyle w:val="NoSpacing"/>
        <w:rPr>
          <w:lang w:val="en"/>
        </w:rPr>
      </w:pPr>
      <w:r w:rsidRPr="00BD6897">
        <w:rPr>
          <w:b/>
          <w:lang w:val="en"/>
        </w:rPr>
        <w:t>Background:</w:t>
      </w:r>
      <w:r w:rsidRPr="00BD6897">
        <w:rPr>
          <w:lang w:val="en"/>
        </w:rPr>
        <w:t xml:space="preserve">  </w:t>
      </w:r>
      <w:r w:rsidR="00C23C9F">
        <w:rPr>
          <w:lang w:val="en"/>
        </w:rPr>
        <w:t>With fixed head pressure control, installers set a</w:t>
      </w:r>
      <w:r w:rsidRPr="00BD6897">
        <w:rPr>
          <w:lang w:val="en"/>
        </w:rPr>
        <w:t xml:space="preserve"> </w:t>
      </w:r>
      <w:r w:rsidR="00C23C9F">
        <w:rPr>
          <w:lang w:val="en"/>
        </w:rPr>
        <w:t xml:space="preserve">fixed </w:t>
      </w:r>
      <w:r w:rsidRPr="00BD6897">
        <w:rPr>
          <w:lang w:val="en"/>
        </w:rPr>
        <w:t xml:space="preserve">pressure-temperature </w:t>
      </w:r>
      <w:proofErr w:type="spellStart"/>
      <w:r w:rsidRPr="00BD6897">
        <w:rPr>
          <w:lang w:val="en"/>
        </w:rPr>
        <w:t>setpoint</w:t>
      </w:r>
      <w:proofErr w:type="spellEnd"/>
      <w:r w:rsidRPr="00BD6897">
        <w:rPr>
          <w:lang w:val="en"/>
        </w:rPr>
        <w:t>, typically 90</w:t>
      </w:r>
      <w:r w:rsidRPr="00633FDD">
        <w:rPr>
          <w:vertAlign w:val="superscript"/>
          <w:lang w:val="en"/>
        </w:rPr>
        <w:t>o</w:t>
      </w:r>
      <w:r w:rsidRPr="00633FDD">
        <w:rPr>
          <w:lang w:val="en"/>
        </w:rPr>
        <w:t>F</w:t>
      </w:r>
      <w:r w:rsidR="008037B7">
        <w:rPr>
          <w:lang w:val="en"/>
        </w:rPr>
        <w:t xml:space="preserve"> (PUC 2014)</w:t>
      </w:r>
      <w:r w:rsidR="00C23C9F">
        <w:rPr>
          <w:lang w:val="en"/>
        </w:rPr>
        <w:t>. With</w:t>
      </w:r>
      <w:r w:rsidRPr="00BD6897">
        <w:rPr>
          <w:lang w:val="en"/>
        </w:rPr>
        <w:t xml:space="preserve"> floating head pressure control</w:t>
      </w:r>
      <w:r w:rsidR="00C23C9F">
        <w:rPr>
          <w:lang w:val="en"/>
        </w:rPr>
        <w:t>, the</w:t>
      </w:r>
      <w:r w:rsidRPr="00BD6897">
        <w:rPr>
          <w:lang w:val="en"/>
        </w:rPr>
        <w:t xml:space="preserve"> </w:t>
      </w:r>
      <w:r w:rsidR="00C23C9F">
        <w:rPr>
          <w:lang w:val="en"/>
        </w:rPr>
        <w:t>saturated condensing temperature (SCT)</w:t>
      </w:r>
      <w:r w:rsidRPr="00BD6897">
        <w:rPr>
          <w:lang w:val="en"/>
        </w:rPr>
        <w:t xml:space="preserve"> </w:t>
      </w:r>
      <w:r w:rsidR="00C23C9F">
        <w:rPr>
          <w:lang w:val="en"/>
        </w:rPr>
        <w:t xml:space="preserve">can change </w:t>
      </w:r>
      <w:r w:rsidRPr="00BD6897">
        <w:rPr>
          <w:lang w:val="en"/>
        </w:rPr>
        <w:t>in response to outdoor temperature</w:t>
      </w:r>
      <w:r w:rsidR="00C23C9F">
        <w:rPr>
          <w:lang w:val="en"/>
        </w:rPr>
        <w:t xml:space="preserve"> down to a </w:t>
      </w:r>
      <w:r w:rsidR="005D4BB9">
        <w:rPr>
          <w:lang w:val="en"/>
        </w:rPr>
        <w:t xml:space="preserve">lower </w:t>
      </w:r>
      <w:r w:rsidR="00C23C9F">
        <w:rPr>
          <w:lang w:val="en"/>
        </w:rPr>
        <w:t xml:space="preserve">minimum value.   </w:t>
      </w:r>
      <w:proofErr w:type="gramStart"/>
      <w:r w:rsidR="00C23C9F">
        <w:rPr>
          <w:lang w:val="en"/>
        </w:rPr>
        <w:t>The greater the reduction in SCT, the greater the energy savings.</w:t>
      </w:r>
      <w:proofErr w:type="gramEnd"/>
      <w:r w:rsidR="00C23C9F">
        <w:rPr>
          <w:lang w:val="en"/>
        </w:rPr>
        <w:t xml:space="preserve">    </w:t>
      </w:r>
    </w:p>
    <w:p w:rsidR="001756B3" w:rsidRDefault="001756B3" w:rsidP="00BD6897">
      <w:pPr>
        <w:pStyle w:val="NoSpacing"/>
        <w:rPr>
          <w:lang w:val="en"/>
        </w:rPr>
      </w:pPr>
    </w:p>
    <w:p w:rsidR="001756B3" w:rsidRPr="00BD6897" w:rsidRDefault="001756B3" w:rsidP="00BD6897">
      <w:pPr>
        <w:pStyle w:val="NoSpacing"/>
        <w:rPr>
          <w:lang w:val="en"/>
        </w:rPr>
      </w:pPr>
      <w:r>
        <w:t>Floating suction pressure controls allow the target saturated suction temperature to float in response to the temperature requirements of the refrigeration loads. Like floating head pressure controls, this measure</w:t>
      </w:r>
      <w:r w:rsidRPr="004E7588">
        <w:t xml:space="preserve"> reduces the differential pressure from suction </w:t>
      </w:r>
      <w:r>
        <w:t xml:space="preserve">pressure </w:t>
      </w:r>
      <w:r w:rsidRPr="004E7588">
        <w:t>to head pressure</w:t>
      </w:r>
      <w:r>
        <w:t xml:space="preserve"> to reduce compressor</w:t>
      </w:r>
      <w:r w:rsidRPr="004E7588">
        <w:t xml:space="preserve"> en</w:t>
      </w:r>
      <w:r>
        <w:t xml:space="preserve">ergy use. </w:t>
      </w:r>
    </w:p>
    <w:p w:rsidR="00BD6897" w:rsidRDefault="00BD6897" w:rsidP="00FC0358">
      <w:pPr>
        <w:pStyle w:val="NoSpacing"/>
        <w:rPr>
          <w:lang w:val="en"/>
        </w:rPr>
      </w:pPr>
    </w:p>
    <w:p w:rsidR="004A37CE" w:rsidRDefault="001B5AB4" w:rsidP="00FC0358">
      <w:pPr>
        <w:pStyle w:val="NoSpacing"/>
        <w:rPr>
          <w:lang w:val="en"/>
        </w:rPr>
      </w:pPr>
      <w:r w:rsidRPr="004F6C38">
        <w:rPr>
          <w:b/>
          <w:lang w:val="en"/>
        </w:rPr>
        <w:t>Variants:</w:t>
      </w:r>
      <w:r>
        <w:rPr>
          <w:lang w:val="en"/>
        </w:rPr>
        <w:t xml:space="preserve">  </w:t>
      </w:r>
      <w:r w:rsidR="004A37CE">
        <w:rPr>
          <w:lang w:val="en"/>
        </w:rPr>
        <w:t>We propose two tiers for this measure</w:t>
      </w:r>
      <w:r w:rsidR="00640462">
        <w:rPr>
          <w:lang w:val="en"/>
        </w:rPr>
        <w:t>:</w:t>
      </w:r>
    </w:p>
    <w:p w:rsidR="004A37CE" w:rsidRPr="001756B3" w:rsidRDefault="00633FDD" w:rsidP="00FC0358">
      <w:pPr>
        <w:pStyle w:val="NoSpacing"/>
        <w:numPr>
          <w:ilvl w:val="0"/>
          <w:numId w:val="1"/>
        </w:numPr>
        <w:rPr>
          <w:lang w:val="en"/>
        </w:rPr>
      </w:pPr>
      <w:r w:rsidRPr="001756B3">
        <w:rPr>
          <w:u w:val="single"/>
          <w:lang w:val="en"/>
        </w:rPr>
        <w:t xml:space="preserve">Tier 1 - </w:t>
      </w:r>
      <w:r w:rsidR="005605D0" w:rsidRPr="001756B3">
        <w:rPr>
          <w:u w:val="single"/>
          <w:lang w:val="en"/>
        </w:rPr>
        <w:t xml:space="preserve">Fixed to </w:t>
      </w:r>
      <w:r w:rsidRPr="001756B3">
        <w:rPr>
          <w:u w:val="single"/>
          <w:lang w:val="en"/>
        </w:rPr>
        <w:t>s</w:t>
      </w:r>
      <w:r w:rsidR="005605D0" w:rsidRPr="001756B3">
        <w:rPr>
          <w:u w:val="single"/>
          <w:lang w:val="en"/>
        </w:rPr>
        <w:t xml:space="preserve">tandard </w:t>
      </w:r>
      <w:r w:rsidRPr="001756B3">
        <w:rPr>
          <w:u w:val="single"/>
          <w:lang w:val="en"/>
        </w:rPr>
        <w:t>floating head p</w:t>
      </w:r>
      <w:r w:rsidR="004A37CE" w:rsidRPr="001756B3">
        <w:rPr>
          <w:u w:val="single"/>
          <w:lang w:val="en"/>
        </w:rPr>
        <w:t>ressur</w:t>
      </w:r>
      <w:r w:rsidRPr="001756B3">
        <w:rPr>
          <w:u w:val="single"/>
          <w:lang w:val="en"/>
        </w:rPr>
        <w:t>e control for multiplex system</w:t>
      </w:r>
      <w:r w:rsidRPr="001756B3">
        <w:rPr>
          <w:lang w:val="en"/>
        </w:rPr>
        <w:t>:  This option</w:t>
      </w:r>
      <w:r w:rsidR="004A37CE" w:rsidRPr="001756B3">
        <w:rPr>
          <w:lang w:val="en"/>
        </w:rPr>
        <w:t xml:space="preserve"> requires controls to reduce minimum saturated condensing temperature </w:t>
      </w:r>
      <w:r w:rsidRPr="001756B3">
        <w:rPr>
          <w:lang w:val="en"/>
        </w:rPr>
        <w:t xml:space="preserve">(SCT) </w:t>
      </w:r>
      <w:r w:rsidR="004A37CE" w:rsidRPr="001756B3">
        <w:rPr>
          <w:lang w:val="en"/>
        </w:rPr>
        <w:t xml:space="preserve">to </w:t>
      </w:r>
      <w:r w:rsidR="005605D0" w:rsidRPr="001756B3">
        <w:rPr>
          <w:lang w:val="en"/>
        </w:rPr>
        <w:t>70</w:t>
      </w:r>
      <w:r w:rsidR="005605D0" w:rsidRPr="001756B3">
        <w:rPr>
          <w:vertAlign w:val="superscript"/>
          <w:lang w:val="en"/>
        </w:rPr>
        <w:t>o</w:t>
      </w:r>
      <w:r w:rsidR="004A37CE" w:rsidRPr="001756B3">
        <w:rPr>
          <w:lang w:val="en"/>
        </w:rPr>
        <w:t xml:space="preserve">F or less. </w:t>
      </w:r>
      <w:r w:rsidR="005D4BB9" w:rsidRPr="001756B3">
        <w:rPr>
          <w:lang w:val="en"/>
        </w:rPr>
        <w:t xml:space="preserve"> We suggest the baseline as</w:t>
      </w:r>
      <w:r w:rsidR="005605D0" w:rsidRPr="001756B3">
        <w:rPr>
          <w:lang w:val="en"/>
        </w:rPr>
        <w:t xml:space="preserve"> fixed FHPC with SCT of 90</w:t>
      </w:r>
      <w:r w:rsidR="005605D0" w:rsidRPr="001756B3">
        <w:rPr>
          <w:vertAlign w:val="superscript"/>
          <w:lang w:val="en"/>
        </w:rPr>
        <w:t>o</w:t>
      </w:r>
      <w:r w:rsidR="005605D0" w:rsidRPr="001756B3">
        <w:rPr>
          <w:lang w:val="en"/>
        </w:rPr>
        <w:t>F.</w:t>
      </w:r>
      <w:r w:rsidRPr="001756B3">
        <w:rPr>
          <w:lang w:val="en"/>
        </w:rPr>
        <w:t xml:space="preserve">  </w:t>
      </w:r>
      <w:r w:rsidR="001B5AB4">
        <w:t>T</w:t>
      </w:r>
      <w:r>
        <w:t xml:space="preserve">his measure should include replacing each expansion valve with either </w:t>
      </w:r>
      <w:r w:rsidR="001B5AB4">
        <w:t>balanced-port valve or electronic expansion valve (EEV) sized to meet the load requirement at 70</w:t>
      </w:r>
      <w:r w:rsidRPr="001756B3">
        <w:rPr>
          <w:vertAlign w:val="superscript"/>
          <w:lang w:val="en"/>
        </w:rPr>
        <w:t>o</w:t>
      </w:r>
      <w:r w:rsidR="001B5AB4">
        <w:t>F condensing temperature</w:t>
      </w:r>
      <w:r w:rsidR="001756B3">
        <w:t xml:space="preserve">.  </w:t>
      </w:r>
    </w:p>
    <w:p w:rsidR="001756B3" w:rsidRPr="001756B3" w:rsidRDefault="001756B3" w:rsidP="001756B3">
      <w:pPr>
        <w:pStyle w:val="NoSpacing"/>
        <w:ind w:left="720"/>
        <w:rPr>
          <w:lang w:val="en"/>
        </w:rPr>
      </w:pPr>
    </w:p>
    <w:p w:rsidR="00FC0358" w:rsidRDefault="00633FDD" w:rsidP="00FC0358">
      <w:pPr>
        <w:pStyle w:val="NoSpacing"/>
        <w:numPr>
          <w:ilvl w:val="0"/>
          <w:numId w:val="1"/>
        </w:numPr>
      </w:pPr>
      <w:r w:rsidRPr="001756B3">
        <w:rPr>
          <w:u w:val="single"/>
          <w:lang w:val="en"/>
        </w:rPr>
        <w:t xml:space="preserve">Tier 2 - </w:t>
      </w:r>
      <w:r w:rsidR="005605D0" w:rsidRPr="001756B3">
        <w:rPr>
          <w:u w:val="single"/>
          <w:lang w:val="en"/>
        </w:rPr>
        <w:t xml:space="preserve">Standard to </w:t>
      </w:r>
      <w:r w:rsidRPr="001756B3">
        <w:rPr>
          <w:u w:val="single"/>
          <w:lang w:val="en"/>
        </w:rPr>
        <w:t>a</w:t>
      </w:r>
      <w:r w:rsidR="004A37CE" w:rsidRPr="001756B3">
        <w:rPr>
          <w:u w:val="single"/>
          <w:lang w:val="en"/>
        </w:rPr>
        <w:t xml:space="preserve">dvanced floating </w:t>
      </w:r>
      <w:r w:rsidR="00CD69E1" w:rsidRPr="001756B3">
        <w:rPr>
          <w:u w:val="single"/>
          <w:lang w:val="en"/>
        </w:rPr>
        <w:t xml:space="preserve">control </w:t>
      </w:r>
      <w:r w:rsidR="00BD6897" w:rsidRPr="001756B3">
        <w:rPr>
          <w:u w:val="single"/>
          <w:lang w:val="en"/>
        </w:rPr>
        <w:t xml:space="preserve">and </w:t>
      </w:r>
      <w:r w:rsidR="001B5AB4" w:rsidRPr="001756B3">
        <w:rPr>
          <w:u w:val="single"/>
          <w:lang w:val="en"/>
        </w:rPr>
        <w:t>electronic expansion valve</w:t>
      </w:r>
      <w:r w:rsidR="00BD6897" w:rsidRPr="001756B3">
        <w:rPr>
          <w:u w:val="single"/>
          <w:lang w:val="en"/>
        </w:rPr>
        <w:t>s</w:t>
      </w:r>
      <w:r w:rsidRPr="001756B3">
        <w:rPr>
          <w:u w:val="single"/>
          <w:lang w:val="en"/>
        </w:rPr>
        <w:t>:</w:t>
      </w:r>
      <w:r w:rsidR="001B5AB4" w:rsidRPr="00633FDD">
        <w:rPr>
          <w:lang w:val="en"/>
        </w:rPr>
        <w:t xml:space="preserve">  </w:t>
      </w:r>
      <w:r w:rsidR="00CD69E1">
        <w:rPr>
          <w:lang w:val="en"/>
        </w:rPr>
        <w:t xml:space="preserve">We suggest this measure include both floating head and floating suction pressure control.  </w:t>
      </w:r>
      <w:r w:rsidR="001B5AB4" w:rsidRPr="00633FDD">
        <w:rPr>
          <w:lang w:val="en"/>
        </w:rPr>
        <w:t>This measure</w:t>
      </w:r>
      <w:r w:rsidR="00CD69E1">
        <w:rPr>
          <w:lang w:val="en"/>
        </w:rPr>
        <w:t xml:space="preserve"> </w:t>
      </w:r>
      <w:r w:rsidR="004A37CE" w:rsidRPr="00633FDD">
        <w:rPr>
          <w:lang w:val="en"/>
        </w:rPr>
        <w:t>requires minimum SCT of 60</w:t>
      </w:r>
      <w:r w:rsidR="004A37CE" w:rsidRPr="00633FDD">
        <w:rPr>
          <w:vertAlign w:val="superscript"/>
          <w:lang w:val="en"/>
        </w:rPr>
        <w:t>o</w:t>
      </w:r>
      <w:r w:rsidR="004A37CE" w:rsidRPr="00633FDD">
        <w:rPr>
          <w:lang w:val="en"/>
        </w:rPr>
        <w:t>F o</w:t>
      </w:r>
      <w:r w:rsidR="00D10146" w:rsidRPr="00633FDD">
        <w:rPr>
          <w:lang w:val="en"/>
        </w:rPr>
        <w:t xml:space="preserve">r less. </w:t>
      </w:r>
      <w:r w:rsidR="005605D0" w:rsidRPr="00633FDD">
        <w:rPr>
          <w:lang w:val="en"/>
        </w:rPr>
        <w:t xml:space="preserve"> The baseline is standard FHPC with minimum SCT of 70</w:t>
      </w:r>
      <w:r w:rsidR="005605D0" w:rsidRPr="00633FDD">
        <w:rPr>
          <w:vertAlign w:val="superscript"/>
          <w:lang w:val="en"/>
        </w:rPr>
        <w:t>o</w:t>
      </w:r>
      <w:r w:rsidR="005605D0" w:rsidRPr="00633FDD">
        <w:rPr>
          <w:lang w:val="en"/>
        </w:rPr>
        <w:t>F.</w:t>
      </w:r>
      <w:r w:rsidR="001B5AB4" w:rsidRPr="00633FDD">
        <w:rPr>
          <w:lang w:val="en"/>
        </w:rPr>
        <w:t xml:space="preserve">  </w:t>
      </w:r>
      <w:r w:rsidR="00EA53FE">
        <w:t xml:space="preserve">This measure should include </w:t>
      </w:r>
      <w:r w:rsidR="001B5AB4">
        <w:t>replac</w:t>
      </w:r>
      <w:r>
        <w:t>ing</w:t>
      </w:r>
      <w:r w:rsidR="001B5AB4">
        <w:t xml:space="preserve"> mechanical expansion valves with electronic expansion valves on all evaporator coils served by the impacted suction grou</w:t>
      </w:r>
      <w:r w:rsidR="00B027C1">
        <w:t xml:space="preserve">ps.  The system should be </w:t>
      </w:r>
      <w:r w:rsidR="001B5AB4">
        <w:t>commission</w:t>
      </w:r>
      <w:r w:rsidR="00B027C1">
        <w:t>ed</w:t>
      </w:r>
      <w:r w:rsidR="001B5AB4">
        <w:t xml:space="preserve"> to minimize superheat without impacting system performance</w:t>
      </w:r>
      <w:r>
        <w:t xml:space="preserve">. </w:t>
      </w:r>
      <w:r w:rsidR="001B5AB4">
        <w:t xml:space="preserve"> Floating suction </w:t>
      </w:r>
      <w:proofErr w:type="spellStart"/>
      <w:proofErr w:type="gramStart"/>
      <w:r w:rsidR="001B5AB4">
        <w:t>setpoints</w:t>
      </w:r>
      <w:proofErr w:type="spellEnd"/>
      <w:proofErr w:type="gramEnd"/>
      <w:r w:rsidR="001B5AB4">
        <w:t xml:space="preserve"> must be optimized to allow suction pressure to rise to the highest press</w:t>
      </w:r>
      <w:r>
        <w:t>ure</w:t>
      </w:r>
      <w:r w:rsidRPr="00633FDD">
        <w:t xml:space="preserve"> </w:t>
      </w:r>
      <w:r>
        <w:t>possible while still maintaining temperature at the critical case(s).</w:t>
      </w:r>
      <w:r w:rsidR="001756B3">
        <w:t xml:space="preserve">   </w:t>
      </w:r>
    </w:p>
    <w:p w:rsidR="001B5AB4" w:rsidRDefault="001B5AB4" w:rsidP="00FC0358">
      <w:pPr>
        <w:pStyle w:val="NoSpacing"/>
        <w:rPr>
          <w:lang w:val="en"/>
        </w:rPr>
      </w:pPr>
    </w:p>
    <w:p w:rsidR="00D10146" w:rsidRDefault="00633FDD" w:rsidP="00640462">
      <w:pPr>
        <w:pStyle w:val="NoSpacing"/>
      </w:pPr>
      <w:r w:rsidRPr="00633FDD">
        <w:rPr>
          <w:b/>
          <w:lang w:val="en"/>
        </w:rPr>
        <w:t>Considerations</w:t>
      </w:r>
      <w:r>
        <w:rPr>
          <w:lang w:val="en"/>
        </w:rPr>
        <w:t xml:space="preserve">:  </w:t>
      </w:r>
      <w:r w:rsidR="00FC0358">
        <w:rPr>
          <w:lang w:val="en"/>
        </w:rPr>
        <w:t>This measure is climate dependent with energy savings increasing in cool</w:t>
      </w:r>
      <w:r w:rsidR="00640462">
        <w:rPr>
          <w:lang w:val="en"/>
        </w:rPr>
        <w:t xml:space="preserve">er climates. </w:t>
      </w:r>
      <w:r w:rsidR="00D10146">
        <w:rPr>
          <w:lang w:val="en"/>
        </w:rPr>
        <w:t xml:space="preserve">UES measures can be calculated by climate zone for the Tier 1 and Tier 2 minimum saturated condensing temperatures </w:t>
      </w:r>
      <w:r w:rsidR="005605D0">
        <w:rPr>
          <w:lang w:val="en"/>
        </w:rPr>
        <w:t>using</w:t>
      </w:r>
      <w:r w:rsidR="00D10146">
        <w:rPr>
          <w:lang w:val="en"/>
        </w:rPr>
        <w:t xml:space="preserve"> algorithms as laid out in references such as </w:t>
      </w:r>
      <w:r w:rsidR="006E705E">
        <w:rPr>
          <w:lang w:val="en"/>
        </w:rPr>
        <w:t xml:space="preserve">Thornton (1991) or Arias (2005) or using tools such as NREL’s </w:t>
      </w:r>
      <w:proofErr w:type="spellStart"/>
      <w:r w:rsidR="006E705E">
        <w:rPr>
          <w:lang w:val="en"/>
        </w:rPr>
        <w:t>EnergyPlus</w:t>
      </w:r>
      <w:proofErr w:type="spellEnd"/>
      <w:r w:rsidR="00D10146">
        <w:t>.</w:t>
      </w:r>
      <w:r w:rsidR="005605D0">
        <w:t xml:space="preserve">  </w:t>
      </w:r>
    </w:p>
    <w:p w:rsidR="005605D0" w:rsidRDefault="005605D0" w:rsidP="00640462">
      <w:pPr>
        <w:pStyle w:val="NoSpacing"/>
      </w:pPr>
    </w:p>
    <w:p w:rsidR="00252B7C" w:rsidRDefault="00252B7C" w:rsidP="00252B7C">
      <w:pPr>
        <w:spacing w:after="0" w:line="240" w:lineRule="auto"/>
      </w:pPr>
      <w:r>
        <w:rPr>
          <w:b/>
        </w:rPr>
        <w:t xml:space="preserve">Preliminary </w:t>
      </w:r>
      <w:r w:rsidRPr="00BC28D0">
        <w:rPr>
          <w:b/>
        </w:rPr>
        <w:t>Technical Potential:</w:t>
      </w:r>
      <w:r>
        <w:t xml:space="preserve">  Technical</w:t>
      </w:r>
      <w:r w:rsidR="00CE3F3C">
        <w:t xml:space="preserve"> potential is estimated to be 4.6 </w:t>
      </w:r>
      <w:proofErr w:type="spellStart"/>
      <w:r w:rsidR="00CE3F3C">
        <w:t>aMW</w:t>
      </w:r>
      <w:proofErr w:type="spellEnd"/>
      <w:r w:rsidR="00CE3F3C">
        <w:t xml:space="preserve"> for Tier 1 and 4.2</w:t>
      </w:r>
      <w:r>
        <w:t xml:space="preserve"> </w:t>
      </w:r>
      <w:proofErr w:type="spellStart"/>
      <w:r>
        <w:t>aMW</w:t>
      </w:r>
      <w:proofErr w:type="spellEnd"/>
      <w:r>
        <w:t xml:space="preserve"> for Tier 2.  This was developed with the assistance of Council staff by estimating savings for three </w:t>
      </w:r>
      <w:r>
        <w:lastRenderedPageBreak/>
        <w:t>prototypical stores (small, large, big box) based on CEC/PG&amp;E (2011).  These were projected regionally using the CBSA (NEEA 2014) and discounted for achievability, applicability, saturation and overlap.</w:t>
      </w:r>
    </w:p>
    <w:p w:rsidR="00252B7C" w:rsidRDefault="00252B7C" w:rsidP="00640462">
      <w:pPr>
        <w:pStyle w:val="NoSpacing"/>
      </w:pPr>
    </w:p>
    <w:p w:rsidR="00477D9D" w:rsidRDefault="00477D9D" w:rsidP="00640462">
      <w:pPr>
        <w:pStyle w:val="NoSpacing"/>
        <w:rPr>
          <w:b/>
        </w:rPr>
      </w:pPr>
      <w:r>
        <w:rPr>
          <w:b/>
        </w:rPr>
        <w:t xml:space="preserve">RTF Background:  </w:t>
      </w:r>
    </w:p>
    <w:p w:rsidR="00494063" w:rsidRDefault="00477D9D" w:rsidP="00640462">
      <w:pPr>
        <w:pStyle w:val="NoSpacing"/>
      </w:pPr>
      <w:r>
        <w:t xml:space="preserve">RTF </w:t>
      </w:r>
      <w:r w:rsidR="00494063">
        <w:t>has deemed savings for floating head pressure controls on single compressor systems, but does not include multiplex systems (</w:t>
      </w:r>
      <w:hyperlink r:id="rId9" w:history="1">
        <w:r w:rsidR="00494063">
          <w:rPr>
            <w:rStyle w:val="Hyperlink"/>
          </w:rPr>
          <w:t>https://rtf.nwcouncil.org/measure/floating-head-pressure-controls-single-compressor-systems</w:t>
        </w:r>
      </w:hyperlink>
      <w:r w:rsidR="00494063">
        <w:t>)</w:t>
      </w:r>
      <w:r w:rsidR="00495CDF">
        <w:t xml:space="preserve">.  </w:t>
      </w:r>
    </w:p>
    <w:p w:rsidR="00477D9D" w:rsidRPr="00477D9D" w:rsidRDefault="00494063" w:rsidP="00640462">
      <w:pPr>
        <w:pStyle w:val="NoSpacing"/>
      </w:pPr>
      <w:r>
        <w:t xml:space="preserve"> </w:t>
      </w:r>
    </w:p>
    <w:p w:rsidR="00494063" w:rsidRDefault="00BD6897" w:rsidP="00640462">
      <w:pPr>
        <w:pStyle w:val="NoSpacing"/>
      </w:pPr>
      <w:proofErr w:type="gramStart"/>
      <w:r w:rsidRPr="00BC28D0">
        <w:rPr>
          <w:b/>
        </w:rPr>
        <w:t>Deemed Savings</w:t>
      </w:r>
      <w:r w:rsidR="00494063">
        <w:rPr>
          <w:b/>
        </w:rPr>
        <w:t xml:space="preserve"> and Incentives</w:t>
      </w:r>
      <w:r w:rsidRPr="00BC28D0">
        <w:rPr>
          <w:b/>
        </w:rPr>
        <w:t xml:space="preserve"> by Other Entities:</w:t>
      </w:r>
      <w:r>
        <w:t xml:space="preserve">  </w:t>
      </w:r>
      <w:r w:rsidR="004F6C38">
        <w:t xml:space="preserve"> Standard FHPC </w:t>
      </w:r>
      <w:r>
        <w:t>for multiplex systems is incentivized by the Energy Trust of Oregon with average estimated savings of 447 kWh per compressor horsepower for air-cooled systems and 222 kWh per compressor horsepower for evaporative systems (ETO 2018).</w:t>
      </w:r>
      <w:proofErr w:type="gramEnd"/>
      <w:r>
        <w:t xml:space="preserve">   </w:t>
      </w:r>
    </w:p>
    <w:p w:rsidR="00494063" w:rsidRDefault="00494063" w:rsidP="00640462">
      <w:pPr>
        <w:pStyle w:val="NoSpacing"/>
      </w:pPr>
    </w:p>
    <w:p w:rsidR="00494063" w:rsidRDefault="00BD6897" w:rsidP="00640462">
      <w:pPr>
        <w:pStyle w:val="NoSpacing"/>
      </w:pPr>
      <w:r>
        <w:t xml:space="preserve">Chelan </w:t>
      </w:r>
      <w:r w:rsidR="00494063">
        <w:t xml:space="preserve">County </w:t>
      </w:r>
      <w:r>
        <w:t xml:space="preserve">PUD incentivizes both standard </w:t>
      </w:r>
      <w:r w:rsidR="006C046D">
        <w:t>FHPC (tier 1) and advanced (Tier 2) floating controls</w:t>
      </w:r>
      <w:r>
        <w:t xml:space="preserve"> for multiplex systems</w:t>
      </w:r>
      <w:r w:rsidR="006C046D">
        <w:t>, which includes both floating head and floating suction pressure controls</w:t>
      </w:r>
      <w:r>
        <w:t xml:space="preserve"> (Chelan 2019).  </w:t>
      </w:r>
      <w:proofErr w:type="spellStart"/>
      <w:r w:rsidR="006C046D">
        <w:t>Avista’s</w:t>
      </w:r>
      <w:proofErr w:type="spellEnd"/>
      <w:r w:rsidR="006C046D">
        <w:t xml:space="preserve"> “2018-2019 Biennial Conservation Plan” also includes advanced floating head and suction pressure controls with electronic expansion valves (Avista 201</w:t>
      </w:r>
      <w:r w:rsidR="00952360">
        <w:t>7</w:t>
      </w:r>
      <w:r w:rsidR="006C046D">
        <w:t xml:space="preserve">).  Deemed savings are 677 kWh per year per compressor hp. </w:t>
      </w:r>
      <w:r w:rsidR="00CD69E1">
        <w:t>(</w:t>
      </w:r>
      <w:r w:rsidR="006C046D">
        <w:t>Note Chelan PUD references the 7</w:t>
      </w:r>
      <w:r w:rsidR="006C046D" w:rsidRPr="006C046D">
        <w:rPr>
          <w:vertAlign w:val="superscript"/>
        </w:rPr>
        <w:t>th</w:t>
      </w:r>
      <w:r w:rsidR="006C046D">
        <w:t xml:space="preserve"> Power Plan and Avista references the RTF as their source.</w:t>
      </w:r>
      <w:r w:rsidR="00CD69E1">
        <w:t>)</w:t>
      </w:r>
    </w:p>
    <w:p w:rsidR="00FA0858" w:rsidRDefault="00FA0858" w:rsidP="00640462">
      <w:pPr>
        <w:pStyle w:val="NoSpacing"/>
      </w:pPr>
    </w:p>
    <w:p w:rsidR="00D10146" w:rsidRPr="006E705E" w:rsidRDefault="00D10146" w:rsidP="00FC0358">
      <w:pPr>
        <w:pStyle w:val="NoSpacing"/>
        <w:rPr>
          <w:b/>
          <w:lang w:val="en"/>
        </w:rPr>
      </w:pPr>
      <w:r w:rsidRPr="006E705E">
        <w:rPr>
          <w:b/>
          <w:lang w:val="en"/>
        </w:rPr>
        <w:t>References</w:t>
      </w:r>
    </w:p>
    <w:p w:rsidR="006E705E" w:rsidRDefault="006E705E" w:rsidP="00CD69E1">
      <w:pPr>
        <w:pStyle w:val="Bibliography"/>
        <w:ind w:left="720" w:hanging="720"/>
        <w:rPr>
          <w:noProof/>
        </w:rPr>
      </w:pPr>
      <w:r>
        <w:rPr>
          <w:noProof/>
        </w:rPr>
        <w:t xml:space="preserve">Arias, Jaime, “Energy Usage in Supermarkets – Modelling and Field Measurements”, Division of Applied Thermodynamics and Refrigeration, Department of Energy Technology, Royal Institute of Technology, 2005, </w:t>
      </w:r>
      <w:hyperlink r:id="rId10" w:history="1">
        <w:r>
          <w:rPr>
            <w:rStyle w:val="Hyperlink"/>
          </w:rPr>
          <w:t>https://www.kth.se/polopoly_fs/1.301522.1550154794!/Menu/general/column-content/attachment/PhD%20Thesis-Jaime%20Arias.pdf</w:t>
        </w:r>
      </w:hyperlink>
    </w:p>
    <w:p w:rsidR="00952360" w:rsidRDefault="006C046D" w:rsidP="00CD69E1">
      <w:pPr>
        <w:pStyle w:val="Bibliography"/>
        <w:ind w:left="720" w:hanging="720"/>
        <w:rPr>
          <w:noProof/>
        </w:rPr>
      </w:pPr>
      <w:r>
        <w:rPr>
          <w:noProof/>
        </w:rPr>
        <w:t>Avista, “2018-2027 TEN-YEAR ACHIEVABLE CONSERVATION POTENTIAL AND 2018-2019 BIENNIAL  CONSERVATION TARGET OF AVISTA CORPORATION”</w:t>
      </w:r>
      <w:r w:rsidR="00952360">
        <w:rPr>
          <w:noProof/>
        </w:rPr>
        <w:t xml:space="preserve">, Docket </w:t>
      </w:r>
      <w:r w:rsidR="00952360" w:rsidRPr="00CD69E1">
        <w:rPr>
          <w:noProof/>
        </w:rPr>
        <w:t>UE-171091,</w:t>
      </w:r>
      <w:r w:rsidR="0035337B">
        <w:rPr>
          <w:noProof/>
        </w:rPr>
        <w:t xml:space="preserve"> </w:t>
      </w:r>
      <w:r w:rsidR="00952360" w:rsidRPr="00CD69E1">
        <w:rPr>
          <w:noProof/>
        </w:rPr>
        <w:t>2017</w:t>
      </w:r>
      <w:r w:rsidR="0035337B">
        <w:rPr>
          <w:noProof/>
        </w:rPr>
        <w:t xml:space="preserve">, </w:t>
      </w:r>
      <w:hyperlink r:id="rId11" w:history="1">
        <w:r w:rsidR="0035337B" w:rsidRPr="00B1722D">
          <w:rPr>
            <w:rStyle w:val="Hyperlink"/>
            <w:noProof/>
          </w:rPr>
          <w:t>https://www.myavista.com/-/media/myavista/content-documents/energy-savings/dsm/wa-2018-2019-biennial-conservation-plan.pdf?la=en</w:t>
        </w:r>
      </w:hyperlink>
    </w:p>
    <w:p w:rsidR="006E705E" w:rsidRDefault="006E705E" w:rsidP="006E705E">
      <w:pPr>
        <w:pStyle w:val="Bibliography"/>
        <w:ind w:left="720" w:hanging="720"/>
        <w:rPr>
          <w:noProof/>
        </w:rPr>
      </w:pPr>
      <w:r>
        <w:rPr>
          <w:noProof/>
        </w:rPr>
        <w:t xml:space="preserve">Chelan County PUD. "Energy Smart, Equipment Terms and Conditions." </w:t>
      </w:r>
      <w:proofErr w:type="gramStart"/>
      <w:r>
        <w:rPr>
          <w:noProof/>
        </w:rPr>
        <w:t xml:space="preserve">2019. </w:t>
      </w:r>
      <w:hyperlink r:id="rId12" w:history="1">
        <w:r w:rsidRPr="0030620F">
          <w:rPr>
            <w:rStyle w:val="Hyperlink"/>
            <w:noProof/>
          </w:rPr>
          <w:t>https://www.energysmartonline.org/documents/EnergySmart-Chelan-TCs.pdf</w:t>
        </w:r>
      </w:hyperlink>
      <w:r>
        <w:rPr>
          <w:noProof/>
        </w:rPr>
        <w:t>.</w:t>
      </w:r>
      <w:proofErr w:type="gramEnd"/>
    </w:p>
    <w:p w:rsidR="008037B7" w:rsidRDefault="008037B7" w:rsidP="008037B7">
      <w:pPr>
        <w:pStyle w:val="Bibliography"/>
        <w:ind w:left="720" w:hanging="720"/>
        <w:rPr>
          <w:noProof/>
        </w:rPr>
      </w:pPr>
      <w:r>
        <w:rPr>
          <w:noProof/>
        </w:rPr>
        <w:t xml:space="preserve">PUC. "Technical Reference Manual, State of Pennsylvania, Act 129, Energy Efficiency and Conservation Program, Act 213 Alternative Energy Portfolio Standards." </w:t>
      </w:r>
      <w:r>
        <w:rPr>
          <w:i/>
          <w:iCs/>
          <w:noProof/>
        </w:rPr>
        <w:t>Pennsylvania Utility Commission.</w:t>
      </w:r>
      <w:r>
        <w:rPr>
          <w:noProof/>
        </w:rPr>
        <w:t xml:space="preserve"> June 2014. </w:t>
      </w:r>
      <w:hyperlink r:id="rId13" w:history="1">
        <w:r w:rsidRPr="00B1722D">
          <w:rPr>
            <w:rStyle w:val="Hyperlink"/>
            <w:noProof/>
          </w:rPr>
          <w:t>http://www.puc.pa.gov/pcdocs/1265230.docx</w:t>
        </w:r>
      </w:hyperlink>
      <w:r>
        <w:rPr>
          <w:noProof/>
        </w:rPr>
        <w:t>.</w:t>
      </w:r>
    </w:p>
    <w:p w:rsidR="00D10146" w:rsidRDefault="00D10146" w:rsidP="00D10146">
      <w:pPr>
        <w:pStyle w:val="Bibliography"/>
        <w:ind w:left="720" w:hanging="720"/>
        <w:rPr>
          <w:noProof/>
        </w:rPr>
      </w:pPr>
      <w:r>
        <w:rPr>
          <w:noProof/>
        </w:rPr>
        <w:t xml:space="preserve">Thornton, Jeff. "Supermarket Refrigeration Options." </w:t>
      </w:r>
      <w:r>
        <w:rPr>
          <w:i/>
          <w:iCs/>
          <w:noProof/>
        </w:rPr>
        <w:t>Masters Thesis, University of Wisconsin, Madison.</w:t>
      </w:r>
      <w:r>
        <w:rPr>
          <w:noProof/>
        </w:rPr>
        <w:t xml:space="preserve"> </w:t>
      </w:r>
      <w:proofErr w:type="gramStart"/>
      <w:r>
        <w:rPr>
          <w:noProof/>
        </w:rPr>
        <w:t xml:space="preserve">1991, </w:t>
      </w:r>
      <w:hyperlink r:id="rId14" w:history="1">
        <w:r w:rsidR="005605D0" w:rsidRPr="0030620F">
          <w:rPr>
            <w:rStyle w:val="Hyperlink"/>
            <w:noProof/>
          </w:rPr>
          <w:t>https://minds.wisconsin.edu/bitstream/handle/1793/45617/Thornton1991.pdf?sequence=1&amp;isAllowed=y</w:t>
        </w:r>
      </w:hyperlink>
      <w:r>
        <w:rPr>
          <w:noProof/>
        </w:rPr>
        <w:t>.</w:t>
      </w:r>
      <w:proofErr w:type="gramEnd"/>
    </w:p>
    <w:p w:rsidR="005D4BB9" w:rsidRDefault="005D4BB9" w:rsidP="005D4BB9">
      <w:pPr>
        <w:pStyle w:val="Bibliography"/>
        <w:ind w:left="720" w:hanging="720"/>
        <w:rPr>
          <w:noProof/>
        </w:rPr>
      </w:pPr>
      <w:r>
        <w:rPr>
          <w:noProof/>
        </w:rPr>
        <w:t xml:space="preserve">ETO. "See What Saving Energy and Money Can Do For Your Business." 2018. </w:t>
      </w:r>
      <w:hyperlink r:id="rId15" w:history="1">
        <w:r>
          <w:rPr>
            <w:rStyle w:val="Hyperlink"/>
          </w:rPr>
          <w:t>https://insider.energytrust.org/wp-content/uploads/be_pi_incentivebooklet.pdf</w:t>
        </w:r>
      </w:hyperlink>
    </w:p>
    <w:p w:rsidR="009D6486" w:rsidRPr="008F5EB9" w:rsidRDefault="009D6486" w:rsidP="008F5EB9">
      <w:pPr>
        <w:spacing w:after="0" w:line="240" w:lineRule="auto"/>
        <w:rPr>
          <w:rFonts w:ascii="Times New Roman" w:eastAsia="Times New Roman" w:hAnsi="Times New Roman" w:cs="Times New Roman"/>
          <w:sz w:val="24"/>
          <w:szCs w:val="24"/>
          <w:lang w:val="en"/>
        </w:rPr>
      </w:pPr>
    </w:p>
    <w:sectPr w:rsidR="009D6486" w:rsidRPr="008F5E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897" w:rsidRDefault="00BD6897" w:rsidP="00BD6897">
      <w:pPr>
        <w:spacing w:after="0" w:line="240" w:lineRule="auto"/>
      </w:pPr>
      <w:r>
        <w:separator/>
      </w:r>
    </w:p>
  </w:endnote>
  <w:endnote w:type="continuationSeparator" w:id="0">
    <w:p w:rsidR="00BD6897" w:rsidRDefault="00BD6897" w:rsidP="00BD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897" w:rsidRDefault="00BD6897" w:rsidP="00BD6897">
      <w:pPr>
        <w:spacing w:after="0" w:line="240" w:lineRule="auto"/>
      </w:pPr>
      <w:r>
        <w:separator/>
      </w:r>
    </w:p>
  </w:footnote>
  <w:footnote w:type="continuationSeparator" w:id="0">
    <w:p w:rsidR="00BD6897" w:rsidRDefault="00BD6897" w:rsidP="00BD68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75E5B"/>
    <w:multiLevelType w:val="hybridMultilevel"/>
    <w:tmpl w:val="1340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B9"/>
    <w:rsid w:val="000C7FDB"/>
    <w:rsid w:val="001756B3"/>
    <w:rsid w:val="001B5AB4"/>
    <w:rsid w:val="00233B58"/>
    <w:rsid w:val="00252B7C"/>
    <w:rsid w:val="0035337B"/>
    <w:rsid w:val="00442A4F"/>
    <w:rsid w:val="00477D9D"/>
    <w:rsid w:val="00494063"/>
    <w:rsid w:val="00495CDF"/>
    <w:rsid w:val="004A2509"/>
    <w:rsid w:val="004A37CE"/>
    <w:rsid w:val="004F6C38"/>
    <w:rsid w:val="00515623"/>
    <w:rsid w:val="005605D0"/>
    <w:rsid w:val="005D4BB9"/>
    <w:rsid w:val="00633FDD"/>
    <w:rsid w:val="00640462"/>
    <w:rsid w:val="006C046D"/>
    <w:rsid w:val="006E705E"/>
    <w:rsid w:val="008037B7"/>
    <w:rsid w:val="008F5EB9"/>
    <w:rsid w:val="00952360"/>
    <w:rsid w:val="009874EB"/>
    <w:rsid w:val="009D6486"/>
    <w:rsid w:val="00A036D9"/>
    <w:rsid w:val="00A845FE"/>
    <w:rsid w:val="00B027C1"/>
    <w:rsid w:val="00BD6897"/>
    <w:rsid w:val="00C23C9F"/>
    <w:rsid w:val="00CD69E1"/>
    <w:rsid w:val="00CE3F3C"/>
    <w:rsid w:val="00CE7561"/>
    <w:rsid w:val="00D10146"/>
    <w:rsid w:val="00DD0A76"/>
    <w:rsid w:val="00EA53FE"/>
    <w:rsid w:val="00F407C8"/>
    <w:rsid w:val="00FA0858"/>
    <w:rsid w:val="00FC0358"/>
    <w:rsid w:val="00FC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5E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F5E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5EB9"/>
    <w:rPr>
      <w:rFonts w:ascii="Times New Roman" w:eastAsia="Times New Roman" w:hAnsi="Times New Roman" w:cs="Times New Roman"/>
      <w:b/>
      <w:bCs/>
      <w:sz w:val="36"/>
      <w:szCs w:val="36"/>
    </w:rPr>
  </w:style>
  <w:style w:type="paragraph" w:styleId="ListParagraph">
    <w:name w:val="List Paragraph"/>
    <w:basedOn w:val="Normal"/>
    <w:uiPriority w:val="34"/>
    <w:qFormat/>
    <w:rsid w:val="008F5EB9"/>
    <w:pPr>
      <w:ind w:left="720"/>
      <w:contextualSpacing/>
    </w:pPr>
  </w:style>
  <w:style w:type="paragraph" w:styleId="z-TopofForm">
    <w:name w:val="HTML Top of Form"/>
    <w:basedOn w:val="Normal"/>
    <w:next w:val="Normal"/>
    <w:link w:val="z-TopofFormChar"/>
    <w:hidden/>
    <w:uiPriority w:val="99"/>
    <w:semiHidden/>
    <w:unhideWhenUsed/>
    <w:rsid w:val="008F5EB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EB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F5EB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EB9"/>
    <w:rPr>
      <w:rFonts w:ascii="Arial" w:hAnsi="Arial" w:cs="Arial"/>
      <w:vanish/>
      <w:sz w:val="16"/>
      <w:szCs w:val="16"/>
    </w:rPr>
  </w:style>
  <w:style w:type="character" w:customStyle="1" w:styleId="Heading1Char">
    <w:name w:val="Heading 1 Char"/>
    <w:basedOn w:val="DefaultParagraphFont"/>
    <w:link w:val="Heading1"/>
    <w:uiPriority w:val="9"/>
    <w:rsid w:val="008F5EB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C0358"/>
    <w:pPr>
      <w:spacing w:after="0" w:line="240" w:lineRule="auto"/>
    </w:pPr>
  </w:style>
  <w:style w:type="paragraph" w:styleId="BalloonText">
    <w:name w:val="Balloon Text"/>
    <w:basedOn w:val="Normal"/>
    <w:link w:val="BalloonTextChar"/>
    <w:uiPriority w:val="99"/>
    <w:semiHidden/>
    <w:unhideWhenUsed/>
    <w:rsid w:val="00D10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146"/>
    <w:rPr>
      <w:rFonts w:ascii="Tahoma" w:hAnsi="Tahoma" w:cs="Tahoma"/>
      <w:sz w:val="16"/>
      <w:szCs w:val="16"/>
    </w:rPr>
  </w:style>
  <w:style w:type="paragraph" w:styleId="Bibliography">
    <w:name w:val="Bibliography"/>
    <w:basedOn w:val="Normal"/>
    <w:next w:val="Normal"/>
    <w:uiPriority w:val="37"/>
    <w:unhideWhenUsed/>
    <w:rsid w:val="00D10146"/>
    <w:pPr>
      <w:spacing w:line="240" w:lineRule="auto"/>
      <w:ind w:right="72"/>
    </w:pPr>
    <w:rPr>
      <w:rFonts w:eastAsia="Calibri" w:cs="Arial"/>
    </w:rPr>
  </w:style>
  <w:style w:type="character" w:styleId="Hyperlink">
    <w:name w:val="Hyperlink"/>
    <w:basedOn w:val="DefaultParagraphFont"/>
    <w:uiPriority w:val="99"/>
    <w:unhideWhenUsed/>
    <w:rsid w:val="005605D0"/>
    <w:rPr>
      <w:color w:val="0000FF" w:themeColor="hyperlink"/>
      <w:u w:val="single"/>
    </w:rPr>
  </w:style>
  <w:style w:type="paragraph" w:styleId="FootnoteText">
    <w:name w:val="footnote text"/>
    <w:aliases w:val="Footnote Text1 Char,Footnote Text Char Ch,Footnote Text Char Ch Char Char Char,Footnote Text Char Ch Char Char,Footnote Text1 Char Char Char,Footnote Text Char Ch Char,ft Char,ft,ALTS FOOTNOTE,fn,Footnote Text 2,Footnote text,FOOTNOTE"/>
    <w:basedOn w:val="Normal"/>
    <w:link w:val="FootnoteTextChar"/>
    <w:uiPriority w:val="99"/>
    <w:qFormat/>
    <w:rsid w:val="00BD6897"/>
    <w:pPr>
      <w:overflowPunct w:val="0"/>
      <w:autoSpaceDE w:val="0"/>
      <w:autoSpaceDN w:val="0"/>
      <w:adjustRightInd w:val="0"/>
      <w:spacing w:after="0" w:line="288" w:lineRule="auto"/>
      <w:textAlignment w:val="baseline"/>
    </w:pPr>
    <w:rPr>
      <w:rFonts w:ascii="Arial" w:eastAsia="Times New Roman" w:hAnsi="Arial" w:cs="Times New Roman"/>
      <w:sz w:val="16"/>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BD6897"/>
    <w:rPr>
      <w:rFonts w:ascii="Arial" w:eastAsia="Times New Roman" w:hAnsi="Arial" w:cs="Times New Roman"/>
      <w:sz w:val="16"/>
      <w:szCs w:val="20"/>
    </w:rPr>
  </w:style>
  <w:style w:type="character" w:styleId="FootnoteReference">
    <w:name w:val="footnote reference"/>
    <w:aliases w:val="o,fr"/>
    <w:uiPriority w:val="99"/>
    <w:qFormat/>
    <w:rsid w:val="00BD6897"/>
    <w:rPr>
      <w:rFonts w:cs="Times New Roman"/>
      <w:vertAlign w:val="superscript"/>
    </w:rPr>
  </w:style>
  <w:style w:type="paragraph" w:styleId="Caption">
    <w:name w:val="caption"/>
    <w:aliases w:val="Caption - Figs,Table Caption,Footnotes"/>
    <w:basedOn w:val="Normal"/>
    <w:next w:val="Normal"/>
    <w:link w:val="CaptionChar"/>
    <w:autoRedefine/>
    <w:unhideWhenUsed/>
    <w:qFormat/>
    <w:rsid w:val="00C23C9F"/>
    <w:pPr>
      <w:keepNext/>
      <w:keepLines/>
      <w:tabs>
        <w:tab w:val="left" w:pos="5490"/>
      </w:tabs>
      <w:spacing w:after="0" w:line="240" w:lineRule="auto"/>
      <w:ind w:right="72"/>
    </w:pPr>
    <w:rPr>
      <w:rFonts w:eastAsia="Calibri" w:cs="Arial"/>
      <w:b/>
      <w:bCs/>
      <w:color w:val="4F81BD" w:themeColor="accent1"/>
      <w:sz w:val="18"/>
      <w:szCs w:val="18"/>
    </w:rPr>
  </w:style>
  <w:style w:type="character" w:customStyle="1" w:styleId="CaptionChar">
    <w:name w:val="Caption Char"/>
    <w:aliases w:val="Caption - Figs Char,Table Caption Char,Footnotes Char"/>
    <w:basedOn w:val="DefaultParagraphFont"/>
    <w:link w:val="Caption"/>
    <w:locked/>
    <w:rsid w:val="00C23C9F"/>
    <w:rPr>
      <w:rFonts w:eastAsia="Calibri" w:cs="Arial"/>
      <w:b/>
      <w:bCs/>
      <w:color w:val="4F81BD" w:themeColor="accent1"/>
      <w:sz w:val="18"/>
      <w:szCs w:val="18"/>
    </w:rPr>
  </w:style>
  <w:style w:type="character" w:styleId="FollowedHyperlink">
    <w:name w:val="FollowedHyperlink"/>
    <w:basedOn w:val="DefaultParagraphFont"/>
    <w:uiPriority w:val="99"/>
    <w:semiHidden/>
    <w:unhideWhenUsed/>
    <w:rsid w:val="00952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5E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F5E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5EB9"/>
    <w:rPr>
      <w:rFonts w:ascii="Times New Roman" w:eastAsia="Times New Roman" w:hAnsi="Times New Roman" w:cs="Times New Roman"/>
      <w:b/>
      <w:bCs/>
      <w:sz w:val="36"/>
      <w:szCs w:val="36"/>
    </w:rPr>
  </w:style>
  <w:style w:type="paragraph" w:styleId="ListParagraph">
    <w:name w:val="List Paragraph"/>
    <w:basedOn w:val="Normal"/>
    <w:uiPriority w:val="34"/>
    <w:qFormat/>
    <w:rsid w:val="008F5EB9"/>
    <w:pPr>
      <w:ind w:left="720"/>
      <w:contextualSpacing/>
    </w:pPr>
  </w:style>
  <w:style w:type="paragraph" w:styleId="z-TopofForm">
    <w:name w:val="HTML Top of Form"/>
    <w:basedOn w:val="Normal"/>
    <w:next w:val="Normal"/>
    <w:link w:val="z-TopofFormChar"/>
    <w:hidden/>
    <w:uiPriority w:val="99"/>
    <w:semiHidden/>
    <w:unhideWhenUsed/>
    <w:rsid w:val="008F5EB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EB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F5EB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EB9"/>
    <w:rPr>
      <w:rFonts w:ascii="Arial" w:hAnsi="Arial" w:cs="Arial"/>
      <w:vanish/>
      <w:sz w:val="16"/>
      <w:szCs w:val="16"/>
    </w:rPr>
  </w:style>
  <w:style w:type="character" w:customStyle="1" w:styleId="Heading1Char">
    <w:name w:val="Heading 1 Char"/>
    <w:basedOn w:val="DefaultParagraphFont"/>
    <w:link w:val="Heading1"/>
    <w:uiPriority w:val="9"/>
    <w:rsid w:val="008F5EB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C0358"/>
    <w:pPr>
      <w:spacing w:after="0" w:line="240" w:lineRule="auto"/>
    </w:pPr>
  </w:style>
  <w:style w:type="paragraph" w:styleId="BalloonText">
    <w:name w:val="Balloon Text"/>
    <w:basedOn w:val="Normal"/>
    <w:link w:val="BalloonTextChar"/>
    <w:uiPriority w:val="99"/>
    <w:semiHidden/>
    <w:unhideWhenUsed/>
    <w:rsid w:val="00D10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146"/>
    <w:rPr>
      <w:rFonts w:ascii="Tahoma" w:hAnsi="Tahoma" w:cs="Tahoma"/>
      <w:sz w:val="16"/>
      <w:szCs w:val="16"/>
    </w:rPr>
  </w:style>
  <w:style w:type="paragraph" w:styleId="Bibliography">
    <w:name w:val="Bibliography"/>
    <w:basedOn w:val="Normal"/>
    <w:next w:val="Normal"/>
    <w:uiPriority w:val="37"/>
    <w:unhideWhenUsed/>
    <w:rsid w:val="00D10146"/>
    <w:pPr>
      <w:spacing w:line="240" w:lineRule="auto"/>
      <w:ind w:right="72"/>
    </w:pPr>
    <w:rPr>
      <w:rFonts w:eastAsia="Calibri" w:cs="Arial"/>
    </w:rPr>
  </w:style>
  <w:style w:type="character" w:styleId="Hyperlink">
    <w:name w:val="Hyperlink"/>
    <w:basedOn w:val="DefaultParagraphFont"/>
    <w:uiPriority w:val="99"/>
    <w:unhideWhenUsed/>
    <w:rsid w:val="005605D0"/>
    <w:rPr>
      <w:color w:val="0000FF" w:themeColor="hyperlink"/>
      <w:u w:val="single"/>
    </w:rPr>
  </w:style>
  <w:style w:type="paragraph" w:styleId="FootnoteText">
    <w:name w:val="footnote text"/>
    <w:aliases w:val="Footnote Text1 Char,Footnote Text Char Ch,Footnote Text Char Ch Char Char Char,Footnote Text Char Ch Char Char,Footnote Text1 Char Char Char,Footnote Text Char Ch Char,ft Char,ft,ALTS FOOTNOTE,fn,Footnote Text 2,Footnote text,FOOTNOTE"/>
    <w:basedOn w:val="Normal"/>
    <w:link w:val="FootnoteTextChar"/>
    <w:uiPriority w:val="99"/>
    <w:qFormat/>
    <w:rsid w:val="00BD6897"/>
    <w:pPr>
      <w:overflowPunct w:val="0"/>
      <w:autoSpaceDE w:val="0"/>
      <w:autoSpaceDN w:val="0"/>
      <w:adjustRightInd w:val="0"/>
      <w:spacing w:after="0" w:line="288" w:lineRule="auto"/>
      <w:textAlignment w:val="baseline"/>
    </w:pPr>
    <w:rPr>
      <w:rFonts w:ascii="Arial" w:eastAsia="Times New Roman" w:hAnsi="Arial" w:cs="Times New Roman"/>
      <w:sz w:val="16"/>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BD6897"/>
    <w:rPr>
      <w:rFonts w:ascii="Arial" w:eastAsia="Times New Roman" w:hAnsi="Arial" w:cs="Times New Roman"/>
      <w:sz w:val="16"/>
      <w:szCs w:val="20"/>
    </w:rPr>
  </w:style>
  <w:style w:type="character" w:styleId="FootnoteReference">
    <w:name w:val="footnote reference"/>
    <w:aliases w:val="o,fr"/>
    <w:uiPriority w:val="99"/>
    <w:qFormat/>
    <w:rsid w:val="00BD6897"/>
    <w:rPr>
      <w:rFonts w:cs="Times New Roman"/>
      <w:vertAlign w:val="superscript"/>
    </w:rPr>
  </w:style>
  <w:style w:type="paragraph" w:styleId="Caption">
    <w:name w:val="caption"/>
    <w:aliases w:val="Caption - Figs,Table Caption,Footnotes"/>
    <w:basedOn w:val="Normal"/>
    <w:next w:val="Normal"/>
    <w:link w:val="CaptionChar"/>
    <w:autoRedefine/>
    <w:unhideWhenUsed/>
    <w:qFormat/>
    <w:rsid w:val="00C23C9F"/>
    <w:pPr>
      <w:keepNext/>
      <w:keepLines/>
      <w:tabs>
        <w:tab w:val="left" w:pos="5490"/>
      </w:tabs>
      <w:spacing w:after="0" w:line="240" w:lineRule="auto"/>
      <w:ind w:right="72"/>
    </w:pPr>
    <w:rPr>
      <w:rFonts w:eastAsia="Calibri" w:cs="Arial"/>
      <w:b/>
      <w:bCs/>
      <w:color w:val="4F81BD" w:themeColor="accent1"/>
      <w:sz w:val="18"/>
      <w:szCs w:val="18"/>
    </w:rPr>
  </w:style>
  <w:style w:type="character" w:customStyle="1" w:styleId="CaptionChar">
    <w:name w:val="Caption Char"/>
    <w:aliases w:val="Caption - Figs Char,Table Caption Char,Footnotes Char"/>
    <w:basedOn w:val="DefaultParagraphFont"/>
    <w:link w:val="Caption"/>
    <w:locked/>
    <w:rsid w:val="00C23C9F"/>
    <w:rPr>
      <w:rFonts w:eastAsia="Calibri" w:cs="Arial"/>
      <w:b/>
      <w:bCs/>
      <w:color w:val="4F81BD" w:themeColor="accent1"/>
      <w:sz w:val="18"/>
      <w:szCs w:val="18"/>
    </w:rPr>
  </w:style>
  <w:style w:type="character" w:styleId="FollowedHyperlink">
    <w:name w:val="FollowedHyperlink"/>
    <w:basedOn w:val="DefaultParagraphFont"/>
    <w:uiPriority w:val="99"/>
    <w:semiHidden/>
    <w:unhideWhenUsed/>
    <w:rsid w:val="00952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64838">
      <w:bodyDiv w:val="1"/>
      <w:marLeft w:val="0"/>
      <w:marRight w:val="0"/>
      <w:marTop w:val="0"/>
      <w:marBottom w:val="0"/>
      <w:divBdr>
        <w:top w:val="none" w:sz="0" w:space="0" w:color="auto"/>
        <w:left w:val="none" w:sz="0" w:space="0" w:color="auto"/>
        <w:bottom w:val="none" w:sz="0" w:space="0" w:color="auto"/>
        <w:right w:val="none" w:sz="0" w:space="0" w:color="auto"/>
      </w:divBdr>
      <w:divsChild>
        <w:div w:id="395395452">
          <w:marLeft w:val="0"/>
          <w:marRight w:val="0"/>
          <w:marTop w:val="0"/>
          <w:marBottom w:val="0"/>
          <w:divBdr>
            <w:top w:val="none" w:sz="0" w:space="0" w:color="auto"/>
            <w:left w:val="none" w:sz="0" w:space="0" w:color="auto"/>
            <w:bottom w:val="none" w:sz="0" w:space="0" w:color="auto"/>
            <w:right w:val="none" w:sz="0" w:space="0" w:color="auto"/>
          </w:divBdr>
          <w:divsChild>
            <w:div w:id="365327856">
              <w:marLeft w:val="0"/>
              <w:marRight w:val="0"/>
              <w:marTop w:val="0"/>
              <w:marBottom w:val="0"/>
              <w:divBdr>
                <w:top w:val="none" w:sz="0" w:space="0" w:color="auto"/>
                <w:left w:val="none" w:sz="0" w:space="0" w:color="auto"/>
                <w:bottom w:val="none" w:sz="0" w:space="0" w:color="auto"/>
                <w:right w:val="none" w:sz="0" w:space="0" w:color="auto"/>
              </w:divBdr>
              <w:divsChild>
                <w:div w:id="425420364">
                  <w:marLeft w:val="0"/>
                  <w:marRight w:val="0"/>
                  <w:marTop w:val="0"/>
                  <w:marBottom w:val="0"/>
                  <w:divBdr>
                    <w:top w:val="none" w:sz="0" w:space="0" w:color="auto"/>
                    <w:left w:val="none" w:sz="0" w:space="0" w:color="auto"/>
                    <w:bottom w:val="none" w:sz="0" w:space="0" w:color="auto"/>
                    <w:right w:val="none" w:sz="0" w:space="0" w:color="auto"/>
                  </w:divBdr>
                  <w:divsChild>
                    <w:div w:id="1126465195">
                      <w:marLeft w:val="0"/>
                      <w:marRight w:val="0"/>
                      <w:marTop w:val="0"/>
                      <w:marBottom w:val="0"/>
                      <w:divBdr>
                        <w:top w:val="none" w:sz="0" w:space="0" w:color="auto"/>
                        <w:left w:val="none" w:sz="0" w:space="0" w:color="auto"/>
                        <w:bottom w:val="none" w:sz="0" w:space="0" w:color="auto"/>
                        <w:right w:val="none" w:sz="0" w:space="0" w:color="auto"/>
                      </w:divBdr>
                      <w:divsChild>
                        <w:div w:id="1182669617">
                          <w:marLeft w:val="0"/>
                          <w:marRight w:val="0"/>
                          <w:marTop w:val="0"/>
                          <w:marBottom w:val="0"/>
                          <w:divBdr>
                            <w:top w:val="none" w:sz="0" w:space="0" w:color="auto"/>
                            <w:left w:val="none" w:sz="0" w:space="0" w:color="auto"/>
                            <w:bottom w:val="none" w:sz="0" w:space="0" w:color="auto"/>
                            <w:right w:val="none" w:sz="0" w:space="0" w:color="auto"/>
                          </w:divBdr>
                          <w:divsChild>
                            <w:div w:id="1914928982">
                              <w:marLeft w:val="0"/>
                              <w:marRight w:val="0"/>
                              <w:marTop w:val="0"/>
                              <w:marBottom w:val="0"/>
                              <w:divBdr>
                                <w:top w:val="none" w:sz="0" w:space="0" w:color="auto"/>
                                <w:left w:val="none" w:sz="0" w:space="0" w:color="auto"/>
                                <w:bottom w:val="none" w:sz="0" w:space="0" w:color="auto"/>
                                <w:right w:val="none" w:sz="0" w:space="0" w:color="auto"/>
                              </w:divBdr>
                              <w:divsChild>
                                <w:div w:id="1418821053">
                                  <w:marLeft w:val="0"/>
                                  <w:marRight w:val="0"/>
                                  <w:marTop w:val="0"/>
                                  <w:marBottom w:val="0"/>
                                  <w:divBdr>
                                    <w:top w:val="none" w:sz="0" w:space="0" w:color="auto"/>
                                    <w:left w:val="none" w:sz="0" w:space="0" w:color="auto"/>
                                    <w:bottom w:val="none" w:sz="0" w:space="0" w:color="auto"/>
                                    <w:right w:val="none" w:sz="0" w:space="0" w:color="auto"/>
                                  </w:divBdr>
                                  <w:divsChild>
                                    <w:div w:id="1729450789">
                                      <w:marLeft w:val="0"/>
                                      <w:marRight w:val="0"/>
                                      <w:marTop w:val="0"/>
                                      <w:marBottom w:val="0"/>
                                      <w:divBdr>
                                        <w:top w:val="none" w:sz="0" w:space="0" w:color="auto"/>
                                        <w:left w:val="none" w:sz="0" w:space="0" w:color="auto"/>
                                        <w:bottom w:val="none" w:sz="0" w:space="0" w:color="auto"/>
                                        <w:right w:val="none" w:sz="0" w:space="0" w:color="auto"/>
                                      </w:divBdr>
                                      <w:divsChild>
                                        <w:div w:id="1523127287">
                                          <w:marLeft w:val="0"/>
                                          <w:marRight w:val="0"/>
                                          <w:marTop w:val="0"/>
                                          <w:marBottom w:val="0"/>
                                          <w:divBdr>
                                            <w:top w:val="none" w:sz="0" w:space="0" w:color="auto"/>
                                            <w:left w:val="none" w:sz="0" w:space="0" w:color="auto"/>
                                            <w:bottom w:val="none" w:sz="0" w:space="0" w:color="auto"/>
                                            <w:right w:val="none" w:sz="0" w:space="0" w:color="auto"/>
                                          </w:divBdr>
                                          <w:divsChild>
                                            <w:div w:id="350231206">
                                              <w:marLeft w:val="0"/>
                                              <w:marRight w:val="0"/>
                                              <w:marTop w:val="0"/>
                                              <w:marBottom w:val="0"/>
                                              <w:divBdr>
                                                <w:top w:val="none" w:sz="0" w:space="0" w:color="auto"/>
                                                <w:left w:val="none" w:sz="0" w:space="0" w:color="auto"/>
                                                <w:bottom w:val="none" w:sz="0" w:space="0" w:color="auto"/>
                                                <w:right w:val="none" w:sz="0" w:space="0" w:color="auto"/>
                                              </w:divBdr>
                                              <w:divsChild>
                                                <w:div w:id="1365596636">
                                                  <w:marLeft w:val="0"/>
                                                  <w:marRight w:val="0"/>
                                                  <w:marTop w:val="0"/>
                                                  <w:marBottom w:val="0"/>
                                                  <w:divBdr>
                                                    <w:top w:val="none" w:sz="0" w:space="0" w:color="auto"/>
                                                    <w:left w:val="none" w:sz="0" w:space="0" w:color="auto"/>
                                                    <w:bottom w:val="none" w:sz="0" w:space="0" w:color="auto"/>
                                                    <w:right w:val="none" w:sz="0" w:space="0" w:color="auto"/>
                                                  </w:divBdr>
                                                  <w:divsChild>
                                                    <w:div w:id="2124840874">
                                                      <w:marLeft w:val="0"/>
                                                      <w:marRight w:val="0"/>
                                                      <w:marTop w:val="0"/>
                                                      <w:marBottom w:val="0"/>
                                                      <w:divBdr>
                                                        <w:top w:val="none" w:sz="0" w:space="0" w:color="auto"/>
                                                        <w:left w:val="none" w:sz="0" w:space="0" w:color="auto"/>
                                                        <w:bottom w:val="none" w:sz="0" w:space="0" w:color="auto"/>
                                                        <w:right w:val="none" w:sz="0" w:space="0" w:color="auto"/>
                                                      </w:divBdr>
                                                      <w:divsChild>
                                                        <w:div w:id="655300076">
                                                          <w:marLeft w:val="0"/>
                                                          <w:marRight w:val="0"/>
                                                          <w:marTop w:val="0"/>
                                                          <w:marBottom w:val="0"/>
                                                          <w:divBdr>
                                                            <w:top w:val="none" w:sz="0" w:space="0" w:color="auto"/>
                                                            <w:left w:val="none" w:sz="0" w:space="0" w:color="auto"/>
                                                            <w:bottom w:val="none" w:sz="0" w:space="0" w:color="auto"/>
                                                            <w:right w:val="none" w:sz="0" w:space="0" w:color="auto"/>
                                                          </w:divBdr>
                                                        </w:div>
                                                      </w:divsChild>
                                                    </w:div>
                                                    <w:div w:id="1128670223">
                                                      <w:marLeft w:val="0"/>
                                                      <w:marRight w:val="0"/>
                                                      <w:marTop w:val="0"/>
                                                      <w:marBottom w:val="0"/>
                                                      <w:divBdr>
                                                        <w:top w:val="none" w:sz="0" w:space="0" w:color="auto"/>
                                                        <w:left w:val="none" w:sz="0" w:space="0" w:color="auto"/>
                                                        <w:bottom w:val="none" w:sz="0" w:space="0" w:color="auto"/>
                                                        <w:right w:val="none" w:sz="0" w:space="0" w:color="auto"/>
                                                      </w:divBdr>
                                                    </w:div>
                                                    <w:div w:id="1570922878">
                                                      <w:marLeft w:val="0"/>
                                                      <w:marRight w:val="0"/>
                                                      <w:marTop w:val="0"/>
                                                      <w:marBottom w:val="0"/>
                                                      <w:divBdr>
                                                        <w:top w:val="none" w:sz="0" w:space="0" w:color="auto"/>
                                                        <w:left w:val="none" w:sz="0" w:space="0" w:color="auto"/>
                                                        <w:bottom w:val="none" w:sz="0" w:space="0" w:color="auto"/>
                                                        <w:right w:val="none" w:sz="0" w:space="0" w:color="auto"/>
                                                      </w:divBdr>
                                                      <w:divsChild>
                                                        <w:div w:id="1983388539">
                                                          <w:marLeft w:val="0"/>
                                                          <w:marRight w:val="0"/>
                                                          <w:marTop w:val="0"/>
                                                          <w:marBottom w:val="0"/>
                                                          <w:divBdr>
                                                            <w:top w:val="none" w:sz="0" w:space="0" w:color="auto"/>
                                                            <w:left w:val="none" w:sz="0" w:space="0" w:color="auto"/>
                                                            <w:bottom w:val="none" w:sz="0" w:space="0" w:color="auto"/>
                                                            <w:right w:val="none" w:sz="0" w:space="0" w:color="auto"/>
                                                          </w:divBdr>
                                                        </w:div>
                                                      </w:divsChild>
                                                    </w:div>
                                                    <w:div w:id="194852423">
                                                      <w:marLeft w:val="0"/>
                                                      <w:marRight w:val="0"/>
                                                      <w:marTop w:val="0"/>
                                                      <w:marBottom w:val="0"/>
                                                      <w:divBdr>
                                                        <w:top w:val="none" w:sz="0" w:space="0" w:color="auto"/>
                                                        <w:left w:val="none" w:sz="0" w:space="0" w:color="auto"/>
                                                        <w:bottom w:val="none" w:sz="0" w:space="0" w:color="auto"/>
                                                        <w:right w:val="none" w:sz="0" w:space="0" w:color="auto"/>
                                                      </w:divBdr>
                                                      <w:divsChild>
                                                        <w:div w:id="11365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2978">
                                                  <w:marLeft w:val="0"/>
                                                  <w:marRight w:val="0"/>
                                                  <w:marTop w:val="0"/>
                                                  <w:marBottom w:val="0"/>
                                                  <w:divBdr>
                                                    <w:top w:val="none" w:sz="0" w:space="0" w:color="auto"/>
                                                    <w:left w:val="none" w:sz="0" w:space="0" w:color="auto"/>
                                                    <w:bottom w:val="none" w:sz="0" w:space="0" w:color="auto"/>
                                                    <w:right w:val="none" w:sz="0" w:space="0" w:color="auto"/>
                                                  </w:divBdr>
                                                  <w:divsChild>
                                                    <w:div w:id="1831368599">
                                                      <w:marLeft w:val="0"/>
                                                      <w:marRight w:val="0"/>
                                                      <w:marTop w:val="0"/>
                                                      <w:marBottom w:val="0"/>
                                                      <w:divBdr>
                                                        <w:top w:val="none" w:sz="0" w:space="0" w:color="auto"/>
                                                        <w:left w:val="none" w:sz="0" w:space="0" w:color="auto"/>
                                                        <w:bottom w:val="none" w:sz="0" w:space="0" w:color="auto"/>
                                                        <w:right w:val="none" w:sz="0" w:space="0" w:color="auto"/>
                                                      </w:divBdr>
                                                    </w:div>
                                                    <w:div w:id="241524032">
                                                      <w:marLeft w:val="0"/>
                                                      <w:marRight w:val="0"/>
                                                      <w:marTop w:val="0"/>
                                                      <w:marBottom w:val="0"/>
                                                      <w:divBdr>
                                                        <w:top w:val="none" w:sz="0" w:space="0" w:color="auto"/>
                                                        <w:left w:val="none" w:sz="0" w:space="0" w:color="auto"/>
                                                        <w:bottom w:val="none" w:sz="0" w:space="0" w:color="auto"/>
                                                        <w:right w:val="none" w:sz="0" w:space="0" w:color="auto"/>
                                                      </w:divBdr>
                                                    </w:div>
                                                    <w:div w:id="2085059238">
                                                      <w:marLeft w:val="0"/>
                                                      <w:marRight w:val="0"/>
                                                      <w:marTop w:val="0"/>
                                                      <w:marBottom w:val="0"/>
                                                      <w:divBdr>
                                                        <w:top w:val="none" w:sz="0" w:space="0" w:color="auto"/>
                                                        <w:left w:val="none" w:sz="0" w:space="0" w:color="auto"/>
                                                        <w:bottom w:val="none" w:sz="0" w:space="0" w:color="auto"/>
                                                        <w:right w:val="none" w:sz="0" w:space="0" w:color="auto"/>
                                                      </w:divBdr>
                                                    </w:div>
                                                    <w:div w:id="1515455030">
                                                      <w:marLeft w:val="0"/>
                                                      <w:marRight w:val="0"/>
                                                      <w:marTop w:val="0"/>
                                                      <w:marBottom w:val="0"/>
                                                      <w:divBdr>
                                                        <w:top w:val="none" w:sz="0" w:space="0" w:color="auto"/>
                                                        <w:left w:val="none" w:sz="0" w:space="0" w:color="auto"/>
                                                        <w:bottom w:val="none" w:sz="0" w:space="0" w:color="auto"/>
                                                        <w:right w:val="none" w:sz="0" w:space="0" w:color="auto"/>
                                                      </w:divBdr>
                                                    </w:div>
                                                    <w:div w:id="13108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pa.gov/pcdocs/1265230.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nergysmartonline.org/documents/EnergySmart-Chelan-TC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yavista.com/-/media/myavista/content-documents/energy-savings/dsm/wa-2018-2019-biennial-conservation-plan.pdf?la=en" TargetMode="External"/><Relationship Id="rId5" Type="http://schemas.openxmlformats.org/officeDocument/2006/relationships/settings" Target="settings.xml"/><Relationship Id="rId15" Type="http://schemas.openxmlformats.org/officeDocument/2006/relationships/hyperlink" Target="https://insider.energytrust.org/wp-content/uploads/be_pi_incentivebooklet.pdf" TargetMode="External"/><Relationship Id="rId10" Type="http://schemas.openxmlformats.org/officeDocument/2006/relationships/hyperlink" Target="https://www.kth.se/polopoly_fs/1.301522.1550154794!/Menu/general/column-content/attachment/PhD%20Thesis-Jaime%20Arias.pdf" TargetMode="External"/><Relationship Id="rId4" Type="http://schemas.microsoft.com/office/2007/relationships/stylesWithEffects" Target="stylesWithEffects.xml"/><Relationship Id="rId9" Type="http://schemas.openxmlformats.org/officeDocument/2006/relationships/hyperlink" Target="https://rtf.nwcouncil.org/measure/floating-head-pressure-controls-single-compressor-systems" TargetMode="External"/><Relationship Id="rId14" Type="http://schemas.openxmlformats.org/officeDocument/2006/relationships/hyperlink" Target="https://minds.wisconsin.edu/bitstream/handle/1793/45617/Thornton1991.pdf?sequence=1&amp;isAllo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Tho91</b:Tag>
    <b:SourceType>DocumentFromInternetSite</b:SourceType>
    <b:Guid>{2E53483F-284B-453D-8622-901AD55CCA2D}</b:Guid>
    <b:Author>
      <b:Author>
        <b:NameList>
          <b:Person>
            <b:Last>Thornton</b:Last>
            <b:First>Jeff</b:First>
          </b:Person>
        </b:NameList>
      </b:Author>
    </b:Author>
    <b:Title>Supermarket Refrigeration Options</b:Title>
    <b:InternetSiteTitle>Masters Thesis, University of Wisconsin, Madison</b:InternetSiteTitle>
    <b:Year>1991</b:Year>
    <b:URL>https://minds.wisconsin.edu/bitstream/handle/1793/45617/Thornton1991.pdf?sequence=1&amp;isAllowed=y</b:URL>
    <b:RefOrder>143</b:RefOrder>
  </b:Source>
</b:Sources>
</file>

<file path=customXml/itemProps1.xml><?xml version="1.0" encoding="utf-8"?>
<ds:datastoreItem xmlns:ds="http://schemas.openxmlformats.org/officeDocument/2006/customXml" ds:itemID="{FF041C89-17B1-482B-98E1-88681362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WSU Extension Energy Program</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Roos</dc:creator>
  <cp:lastModifiedBy>BPA User</cp:lastModifiedBy>
  <cp:revision>2</cp:revision>
  <cp:lastPrinted>2019-09-17T23:44:00Z</cp:lastPrinted>
  <dcterms:created xsi:type="dcterms:W3CDTF">2019-09-20T20:03:00Z</dcterms:created>
  <dcterms:modified xsi:type="dcterms:W3CDTF">2019-09-20T20:03:00Z</dcterms:modified>
</cp:coreProperties>
</file>